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61"/>
        <w:ind w:left="-567"/>
        <w:jc w:val="center"/>
        <w:rPr>
          <w:b/>
          <w:sz w:val="36"/>
          <w:szCs w:val="36"/>
        </w:rPr>
        <w:outlineLvl w:val="1"/>
      </w:pPr>
      <w:r>
        <w:rPr>
          <w:b/>
          <w:sz w:val="36"/>
          <w:szCs w:val="36"/>
        </w:rPr>
        <w:t xml:space="preserve">ТЕРРИТОРИАЛЬНАЯ ИЗБИРАТЕЛЬНАЯ КОМИССИЯ</w:t>
      </w:r>
      <w:r>
        <w:rPr>
          <w:b/>
          <w:sz w:val="36"/>
          <w:szCs w:val="36"/>
        </w:rPr>
      </w:r>
    </w:p>
    <w:p>
      <w:pPr>
        <w:pStyle w:val="661"/>
        <w:jc w:val="center"/>
        <w:rPr>
          <w:b/>
          <w:sz w:val="36"/>
          <w:szCs w:val="36"/>
        </w:rPr>
        <w:outlineLvl w:val="1"/>
      </w:pPr>
      <w:r>
        <w:rPr>
          <w:b/>
          <w:sz w:val="36"/>
          <w:szCs w:val="36"/>
        </w:rPr>
        <w:t xml:space="preserve">МУНИЦИПАЛЬНОГО ОКРУГА ВОРОТЫНСКИЙ НИЖЕГОРОДСКОЙ ОБЛАСТИ</w:t>
      </w:r>
      <w:r>
        <w:rPr>
          <w:b/>
          <w:sz w:val="36"/>
          <w:szCs w:val="36"/>
        </w:rPr>
      </w:r>
    </w:p>
    <w:p>
      <w:pPr>
        <w:pStyle w:val="661"/>
        <w:jc w:val="center"/>
        <w:rPr>
          <w:b/>
        </w:rPr>
        <w:outlineLvl w:val="1"/>
      </w:pPr>
      <w:r>
        <w:rPr>
          <w:b/>
        </w:rPr>
      </w:r>
      <w:r>
        <w:rPr>
          <w:b/>
        </w:rPr>
      </w:r>
    </w:p>
    <w:p>
      <w:pPr>
        <w:pStyle w:val="661"/>
        <w:jc w:val="center"/>
        <w:rPr>
          <w:sz w:val="40"/>
          <w:szCs w:val="40"/>
        </w:rPr>
        <w:outlineLvl w:val="1"/>
      </w:pPr>
      <w:r>
        <w:rPr>
          <w:sz w:val="40"/>
          <w:szCs w:val="40"/>
        </w:rPr>
        <w:t xml:space="preserve">П О С Т А Н О В Л Е Н И Е</w:t>
      </w:r>
      <w:r>
        <w:rPr>
          <w:sz w:val="40"/>
          <w:szCs w:val="40"/>
        </w:rPr>
      </w:r>
    </w:p>
    <w:p>
      <w:pPr>
        <w:pStyle w:val="661"/>
        <w:jc w:val="center"/>
        <w:outlineLvl w:val="1"/>
      </w:pPr>
      <w:r>
        <mc:AlternateContent>
          <mc:Choice Requires="wpg">
            <w:drawing>
              <wp:inline xmlns:wp="http://schemas.openxmlformats.org/drawingml/2006/wordprocessingDrawing" distT="0" distB="0" distL="0" distR="0">
                <wp:extent cx="5941771" cy="19202"/>
                <wp:effectExtent l="0" t="0" r="0" b="0"/>
                <wp:docPr id="1" name="_x0000_s1025"/>
                <wp:cNvGraphicFramePr/>
                <a:graphic xmlns:a="http://schemas.openxmlformats.org/drawingml/2006/main">
                  <a:graphicData uri="http://schemas.microsoft.com/office/word/2010/wordprocessingShape">
                    <wps:wsp>
                      <wps:cNvPr id="0" name=""/>
                      <wps:cNvSpPr/>
                      <wps:spPr bwMode="auto">
                        <a:xfrm>
                          <a:off x="0" y="0"/>
                          <a:ext cx="5941771" cy="19202"/>
                        </a:xfrm>
                        <a:prstGeom prst="rect">
                          <a:avLst/>
                        </a:prstGeom>
                        <a:solidFill>
                          <a:srgbClr val="A0A0A0"/>
                        </a:solidFill>
                        <a:ln>
                          <a:noFill/>
                        </a:ln>
                      </wps:spPr>
                      <wps:bodyPr rot="0">
                        <a:prstTxWarp prst="textNoShape">
                          <a:avLst/>
                        </a:prstTxWarp>
                        <a:noAutofit/>
                      </wps:bodyPr>
                    </wps:wsp>
                  </a:graphicData>
                </a:graphic>
              </wp:inline>
            </w:drawing>
          </mc:Choice>
          <mc:Fallback>
            <w:pict>
              <v:shape id="shape 0" o:spid="_x0000_s0" o:spt="1" type="#_x0000_t1" style="width:467.86pt;height:1.51pt;mso-wrap-distance-left:0.00pt;mso-wrap-distance-top:0.00pt;mso-wrap-distance-right:0.00pt;mso-wrap-distance-bottom:0.00pt;visibility:visible;" fillcolor="#A0A0A0" stroked="f"/>
            </w:pict>
          </mc:Fallback>
        </mc:AlternateContent>
      </w:r>
      <w:r/>
    </w:p>
    <w:p>
      <w:pPr>
        <w:pStyle w:val="661"/>
        <w:jc w:val="both"/>
        <w:rPr>
          <w:sz w:val="28"/>
          <w:szCs w:val="28"/>
        </w:rPr>
        <w:outlineLvl w:val="1"/>
      </w:pPr>
      <w:r>
        <w:rPr>
          <w:sz w:val="28"/>
          <w:szCs w:val="28"/>
          <w:u w:val="single"/>
        </w:rPr>
        <w:t xml:space="preserve"> “</w:t>
      </w:r>
      <w:r>
        <w:rPr>
          <w:sz w:val="28"/>
          <w:szCs w:val="28"/>
          <w:u w:val="single"/>
        </w:rPr>
        <w:t xml:space="preserve">27</w:t>
      </w:r>
      <w:r>
        <w:rPr>
          <w:sz w:val="28"/>
          <w:szCs w:val="28"/>
          <w:u w:val="single"/>
        </w:rPr>
        <w:t xml:space="preserve">” ию</w:t>
      </w:r>
      <w:r>
        <w:rPr>
          <w:sz w:val="28"/>
          <w:szCs w:val="28"/>
          <w:u w:val="single"/>
        </w:rPr>
        <w:t xml:space="preserve">л</w:t>
      </w:r>
      <w:r>
        <w:rPr>
          <w:sz w:val="28"/>
          <w:szCs w:val="28"/>
          <w:u w:val="single"/>
        </w:rPr>
        <w:t xml:space="preserve">я </w:t>
      </w:r>
      <w:r>
        <w:rPr>
          <w:sz w:val="28"/>
          <w:szCs w:val="28"/>
          <w:u w:val="single"/>
        </w:rPr>
        <w:t xml:space="preserve"> 2026г</w:t>
      </w:r>
      <w:r>
        <w:rPr>
          <w:sz w:val="28"/>
          <w:szCs w:val="28"/>
        </w:rPr>
        <w:t xml:space="preserve">                                                                                         №   </w:t>
      </w:r>
      <w:r>
        <w:rPr>
          <w:sz w:val="28"/>
          <w:szCs w:val="28"/>
          <w:u w:val="single"/>
          <w:lang w:val="en-US"/>
        </w:rPr>
        <w:t xml:space="preserve">14</w:t>
      </w:r>
      <w:r>
        <w:rPr>
          <w:sz w:val="28"/>
          <w:szCs w:val="28"/>
          <w:u w:val="single"/>
        </w:rPr>
        <w:t xml:space="preserve">/52</w:t>
      </w:r>
      <w:r>
        <w:rPr>
          <w:sz w:val="28"/>
          <w:szCs w:val="28"/>
          <w:u w:val="single"/>
        </w:rPr>
        <w:t xml:space="preserve">-6</w:t>
      </w:r>
      <w:r>
        <w:rPr>
          <w:sz w:val="28"/>
          <w:szCs w:val="28"/>
        </w:rPr>
      </w:r>
      <w:r>
        <w:rPr>
          <w:sz w:val="28"/>
          <w:szCs w:val="28"/>
        </w:rPr>
      </w:r>
    </w:p>
    <w:p>
      <w:pPr>
        <w:pStyle w:val="661"/>
        <w:jc w:val="center"/>
        <w:rPr>
          <w:sz w:val="28"/>
          <w:szCs w:val="28"/>
        </w:rPr>
        <w:outlineLvl w:val="1"/>
      </w:pPr>
      <w:r>
        <w:rPr>
          <w:sz w:val="28"/>
          <w:szCs w:val="28"/>
        </w:rPr>
        <w:t xml:space="preserve">р.п.Воротынец</w:t>
      </w:r>
      <w:r>
        <w:rPr>
          <w:sz w:val="28"/>
          <w:szCs w:val="28"/>
        </w:rPr>
      </w:r>
      <w:r>
        <w:rPr>
          <w:sz w:val="28"/>
          <w:szCs w:val="28"/>
        </w:rPr>
      </w:r>
    </w:p>
    <w:p>
      <w:pPr>
        <w:pStyle w:val="661"/>
        <w:jc w:val="center"/>
        <w:rPr>
          <w:sz w:val="28"/>
          <w:szCs w:val="28"/>
        </w:rPr>
        <w:outlineLvl w:val="1"/>
      </w:pPr>
      <w:r>
        <w:rPr>
          <w:sz w:val="28"/>
          <w:szCs w:val="28"/>
        </w:rPr>
      </w:r>
      <w:r>
        <w:rPr>
          <w:sz w:val="28"/>
          <w:szCs w:val="28"/>
        </w:rPr>
      </w:r>
    </w:p>
    <w:p>
      <w:pPr>
        <w:pStyle w:val="665"/>
        <w:ind w:left="709" w:right="423"/>
        <w:jc w:val="center"/>
        <w:spacing w:after="0"/>
        <w:rPr>
          <w:b/>
          <w:sz w:val="28"/>
          <w:szCs w:val="28"/>
        </w:rPr>
      </w:pPr>
      <w:r>
        <w:rPr>
          <w:b/>
          <w:sz w:val="28"/>
          <w:szCs w:val="28"/>
        </w:rPr>
        <w:t xml:space="preserve">Об установлении объема сведений о кандидатах в депутаты</w:t>
      </w:r>
      <w:r>
        <w:rPr>
          <w:b/>
          <w:sz w:val="28"/>
          <w:szCs w:val="28"/>
        </w:rPr>
        <w:t xml:space="preserve"> </w:t>
      </w:r>
      <w:r>
        <w:rPr>
          <w:b/>
          <w:sz w:val="28"/>
          <w:szCs w:val="28"/>
        </w:rPr>
        <w:t xml:space="preserve">Совета депутатов муниципального округа Воротынский</w:t>
      </w:r>
      <w:r>
        <w:rPr>
          <w:b/>
          <w:szCs w:val="28"/>
        </w:rPr>
        <w:t xml:space="preserve"> </w:t>
      </w:r>
      <w:r>
        <w:rPr>
          <w:b/>
          <w:sz w:val="28"/>
          <w:szCs w:val="28"/>
        </w:rPr>
        <w:t xml:space="preserve">Нижегородской области второго созыва</w:t>
      </w:r>
      <w:r>
        <w:rPr>
          <w:b/>
          <w:sz w:val="28"/>
          <w:szCs w:val="28"/>
        </w:rPr>
        <w:t xml:space="preserve"> по одномандатным избирательным округам №9 и №12 подлежащих доведению до сведения избирателей</w:t>
      </w:r>
      <w:r>
        <w:rPr>
          <w:b/>
          <w:sz w:val="28"/>
          <w:szCs w:val="28"/>
        </w:rPr>
      </w:r>
      <w:r>
        <w:rPr>
          <w:b/>
          <w:sz w:val="28"/>
          <w:szCs w:val="28"/>
        </w:rPr>
      </w:r>
    </w:p>
    <w:p>
      <w:pPr>
        <w:pStyle w:val="655"/>
        <w:jc w:val="center"/>
        <w:spacing w:after="0"/>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jc w:val="center"/>
        <w:spacing w:after="0"/>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jc w:val="both"/>
        <w:spacing w:after="0"/>
        <w:rPr>
          <w:rFonts w:ascii="Times New Roman" w:hAnsi="Times New Roman"/>
          <w:sz w:val="28"/>
          <w:szCs w:val="28"/>
        </w:rPr>
      </w:pPr>
      <w:r>
        <w:rPr>
          <w:szCs w:val="28"/>
        </w:rPr>
        <w:t xml:space="preserve">            </w:t>
      </w:r>
      <w:r>
        <w:rPr>
          <w:rFonts w:ascii="Times New Roman" w:hAnsi="Times New Roman"/>
          <w:sz w:val="28"/>
          <w:szCs w:val="28"/>
        </w:rPr>
        <w:t xml:space="preserve">В соответствии </w:t>
      </w:r>
      <w:r>
        <w:rPr>
          <w:rFonts w:ascii="Times New Roman" w:hAnsi="Times New Roman"/>
          <w:sz w:val="28"/>
          <w:szCs w:val="28"/>
        </w:rPr>
        <w:t xml:space="preserve">с частями 9, 10 статьи 27 и частью 3 статьи 60</w:t>
      </w:r>
      <w:r>
        <w:rPr>
          <w:rFonts w:ascii="Times New Roman" w:hAnsi="Times New Roman"/>
          <w:sz w:val="28"/>
          <w:szCs w:val="28"/>
        </w:rPr>
        <w:t xml:space="preserve"> Закона Нижегородской области </w:t>
      </w:r>
      <w:r>
        <w:rPr>
          <w:rFonts w:ascii="Times New Roman" w:hAnsi="Times New Roman"/>
          <w:sz w:val="28"/>
          <w:szCs w:val="28"/>
        </w:rPr>
        <w:t xml:space="preserve">от 06 сентября 2007 года № 108-З </w:t>
      </w:r>
      <w:r>
        <w:rPr>
          <w:rFonts w:ascii="Times New Roman" w:hAnsi="Times New Roman"/>
          <w:sz w:val="28"/>
          <w:szCs w:val="28"/>
        </w:rPr>
        <w:t xml:space="preserve">«О выборах депутатов представительных органов муниципальных образований в Нижегородской области» территориальная избирательная комиссия муниципальн</w:t>
      </w:r>
      <w:r>
        <w:rPr>
          <w:rFonts w:ascii="Times New Roman" w:hAnsi="Times New Roman"/>
          <w:sz w:val="28"/>
          <w:szCs w:val="28"/>
        </w:rPr>
        <w:t xml:space="preserve">ого округа Воротынский Нижегородской</w:t>
      </w:r>
      <w:r>
        <w:rPr>
          <w:rFonts w:ascii="Times New Roman" w:hAnsi="Times New Roman"/>
          <w:sz w:val="28"/>
          <w:szCs w:val="28"/>
        </w:rPr>
        <w:t xml:space="preserve"> </w:t>
      </w:r>
      <w:r>
        <w:rPr>
          <w:rFonts w:ascii="Times New Roman" w:hAnsi="Times New Roman"/>
          <w:sz w:val="28"/>
          <w:szCs w:val="28"/>
        </w:rPr>
      </w:r>
      <w:r>
        <w:rPr>
          <w:rFonts w:ascii="Times New Roman" w:hAnsi="Times New Roman"/>
          <w:sz w:val="28"/>
          <w:szCs w:val="28"/>
        </w:rPr>
      </w:r>
      <w:r>
        <w:rPr>
          <w:rFonts w:ascii="Times New Roman" w:hAnsi="Times New Roman"/>
          <w:sz w:val="28"/>
          <w:szCs w:val="28"/>
        </w:rPr>
      </w:r>
      <w:r>
        <w:rPr>
          <w:rFonts w:ascii="Times New Roman" w:hAnsi="Times New Roman"/>
          <w:sz w:val="28"/>
          <w:szCs w:val="28"/>
        </w:rPr>
      </w:r>
      <w:r>
        <w:rPr>
          <w:rFonts w:ascii="Times New Roman" w:hAnsi="Times New Roman"/>
          <w:sz w:val="28"/>
          <w:szCs w:val="28"/>
        </w:rPr>
        <w:t xml:space="preserve">ПОСТАНОВЛЯЕТ:   </w:t>
      </w: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655"/>
        <w:jc w:val="both"/>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p>
      <w:pPr>
        <w:pStyle w:val="686"/>
        <w:ind w:left="0" w:firstLine="709"/>
        <w:jc w:val="both"/>
        <w:spacing w:after="0" w:line="276" w:lineRule="auto"/>
        <w:widowControl w:val="off"/>
        <w:rPr>
          <w:sz w:val="28"/>
          <w:szCs w:val="28"/>
        </w:rPr>
      </w:pPr>
      <w:r>
        <w:rPr>
          <w:sz w:val="28"/>
          <w:szCs w:val="28"/>
        </w:rPr>
        <w:t xml:space="preserve">1.</w:t>
      </w:r>
      <w:r>
        <w:rPr>
          <w:sz w:val="28"/>
          <w:szCs w:val="28"/>
        </w:rPr>
        <w:t xml:space="preserve"> </w:t>
      </w:r>
      <w:r>
        <w:rPr>
          <w:sz w:val="28"/>
          <w:szCs w:val="28"/>
        </w:rPr>
        <w:t xml:space="preserve">Установить</w:t>
      </w:r>
      <w:r>
        <w:rPr>
          <w:sz w:val="28"/>
          <w:szCs w:val="28"/>
        </w:rPr>
        <w:t xml:space="preserve">, что</w:t>
      </w:r>
      <w:r>
        <w:rPr>
          <w:sz w:val="28"/>
          <w:szCs w:val="28"/>
        </w:rPr>
        <w:t xml:space="preserve"> сведени</w:t>
      </w:r>
      <w:r>
        <w:rPr>
          <w:sz w:val="28"/>
          <w:szCs w:val="28"/>
        </w:rPr>
        <w:t xml:space="preserve">я</w:t>
      </w:r>
      <w:r>
        <w:rPr>
          <w:sz w:val="28"/>
          <w:szCs w:val="28"/>
        </w:rPr>
        <w:t xml:space="preserve"> о кандидатах в </w:t>
      </w:r>
      <w:r>
        <w:rPr>
          <w:sz w:val="28"/>
          <w:szCs w:val="28"/>
        </w:rPr>
        <w:t xml:space="preserve">депутаты Совета депутатов муниципального округа Воротынский</w:t>
      </w:r>
      <w:r>
        <w:rPr>
          <w:szCs w:val="28"/>
        </w:rPr>
        <w:t xml:space="preserve"> </w:t>
      </w:r>
      <w:r>
        <w:rPr>
          <w:sz w:val="28"/>
          <w:szCs w:val="28"/>
        </w:rPr>
        <w:t xml:space="preserve">Нижегородской области второго созыва по одномандатным избирательным округам №9 и №12</w:t>
      </w:r>
      <w:r>
        <w:rPr>
          <w:sz w:val="28"/>
          <w:szCs w:val="28"/>
        </w:rPr>
        <w:t xml:space="preserve">, </w:t>
      </w:r>
      <w:r>
        <w:rPr>
          <w:sz w:val="28"/>
          <w:szCs w:val="28"/>
        </w:rPr>
        <w:t xml:space="preserve">представленные при их выдвижении, </w:t>
      </w:r>
      <w:r>
        <w:rPr>
          <w:sz w:val="28"/>
          <w:szCs w:val="28"/>
        </w:rPr>
        <w:t xml:space="preserve">подлежа</w:t>
      </w:r>
      <w:r>
        <w:rPr>
          <w:sz w:val="28"/>
          <w:szCs w:val="28"/>
        </w:rPr>
        <w:t xml:space="preserve">т</w:t>
      </w:r>
      <w:r>
        <w:rPr>
          <w:sz w:val="28"/>
          <w:szCs w:val="28"/>
        </w:rPr>
        <w:t xml:space="preserve"> </w:t>
      </w:r>
      <w:r>
        <w:rPr>
          <w:sz w:val="28"/>
          <w:szCs w:val="28"/>
        </w:rPr>
        <w:t xml:space="preserve">передаче в газету «Воротынская газета»</w:t>
      </w:r>
      <w:r>
        <w:rPr>
          <w:sz w:val="28"/>
          <w:szCs w:val="28"/>
        </w:rPr>
        <w:t xml:space="preserve">, </w:t>
      </w:r>
      <w:r>
        <w:rPr>
          <w:sz w:val="28"/>
          <w:szCs w:val="28"/>
        </w:rPr>
        <w:t xml:space="preserve">размещению на портале органов местного   самоуправления в разделе «Территориальная избирательная комиссия муниципального округа Воротынский Нижегородской области»</w:t>
      </w:r>
      <w:r>
        <w:rPr>
          <w:sz w:val="28"/>
          <w:szCs w:val="28"/>
        </w:rPr>
        <w:t xml:space="preserve"> и размещению на информационных стендах участковых избирательных комиссий в соответствии с приложением № 1</w:t>
      </w:r>
      <w:r>
        <w:rPr>
          <w:sz w:val="28"/>
          <w:szCs w:val="28"/>
        </w:rPr>
        <w:t xml:space="preserve">.</w:t>
      </w:r>
      <w:r>
        <w:rPr>
          <w:sz w:val="28"/>
          <w:szCs w:val="28"/>
        </w:rPr>
      </w:r>
      <w:r>
        <w:rPr>
          <w:sz w:val="28"/>
          <w:szCs w:val="28"/>
        </w:rPr>
      </w:r>
    </w:p>
    <w:p>
      <w:pPr>
        <w:pStyle w:val="686"/>
        <w:ind w:left="0" w:firstLine="709"/>
        <w:jc w:val="both"/>
        <w:spacing w:after="0" w:line="276" w:lineRule="auto"/>
        <w:widowControl w:val="off"/>
        <w:rPr>
          <w:sz w:val="28"/>
          <w:szCs w:val="28"/>
        </w:rPr>
      </w:pPr>
      <w:r>
        <w:rPr>
          <w:sz w:val="28"/>
          <w:szCs w:val="28"/>
        </w:rPr>
      </w:r>
      <w:r>
        <w:rPr>
          <w:sz w:val="28"/>
          <w:szCs w:val="28"/>
        </w:rPr>
      </w:r>
    </w:p>
    <w:p>
      <w:pPr>
        <w:pStyle w:val="686"/>
        <w:ind w:left="0" w:firstLine="709"/>
        <w:jc w:val="both"/>
        <w:spacing w:after="0" w:line="276" w:lineRule="auto"/>
        <w:widowControl w:val="off"/>
        <w:rPr>
          <w:sz w:val="28"/>
          <w:szCs w:val="28"/>
        </w:rPr>
      </w:pPr>
      <w:r>
        <w:rPr>
          <w:sz w:val="28"/>
          <w:szCs w:val="28"/>
        </w:rPr>
        <w:t xml:space="preserve">2.</w:t>
      </w:r>
      <w:r>
        <w:rPr>
          <w:sz w:val="28"/>
          <w:szCs w:val="28"/>
        </w:rPr>
        <w:t xml:space="preserve"> </w:t>
      </w:r>
      <w:r>
        <w:rPr>
          <w:sz w:val="28"/>
          <w:szCs w:val="28"/>
        </w:rPr>
        <w:t xml:space="preserve">Установить</w:t>
      </w:r>
      <w:r>
        <w:rPr>
          <w:sz w:val="28"/>
          <w:szCs w:val="28"/>
        </w:rPr>
        <w:t xml:space="preserve">, что</w:t>
      </w:r>
      <w:r>
        <w:rPr>
          <w:sz w:val="28"/>
          <w:szCs w:val="28"/>
        </w:rPr>
        <w:t xml:space="preserve"> сведени</w:t>
      </w:r>
      <w:r>
        <w:rPr>
          <w:sz w:val="28"/>
          <w:szCs w:val="28"/>
        </w:rPr>
        <w:t xml:space="preserve">я о доходах и об имуществе кандидатов</w:t>
      </w:r>
      <w:r>
        <w:rPr>
          <w:sz w:val="28"/>
          <w:szCs w:val="28"/>
        </w:rPr>
        <w:t xml:space="preserve"> в депутаты </w:t>
      </w:r>
      <w:r>
        <w:rPr>
          <w:sz w:val="28"/>
          <w:szCs w:val="28"/>
        </w:rPr>
        <w:t xml:space="preserve">Совета депутатов муниципального округа Воротынский</w:t>
      </w:r>
      <w:r>
        <w:rPr>
          <w:szCs w:val="28"/>
        </w:rPr>
        <w:t xml:space="preserve"> </w:t>
      </w:r>
      <w:r>
        <w:rPr>
          <w:sz w:val="28"/>
          <w:szCs w:val="28"/>
        </w:rPr>
        <w:t xml:space="preserve">Нижегородской области второго созыва </w:t>
      </w:r>
      <w:r>
        <w:rPr>
          <w:sz w:val="28"/>
          <w:szCs w:val="28"/>
        </w:rPr>
      </w:r>
      <w:r>
        <w:rPr>
          <w:sz w:val="28"/>
          <w:szCs w:val="28"/>
        </w:rPr>
        <w:t xml:space="preserve">по одномандатным избирательным округам №9 и №12</w:t>
      </w:r>
      <w:r/>
      <w:r>
        <w:rPr>
          <w:sz w:val="28"/>
          <w:szCs w:val="28"/>
        </w:rPr>
        <w:t xml:space="preserve"> подлежат</w:t>
      </w:r>
      <w:r>
        <w:rPr>
          <w:sz w:val="28"/>
          <w:szCs w:val="28"/>
        </w:rPr>
        <w:t xml:space="preserve"> </w:t>
      </w:r>
      <w:r>
        <w:rPr>
          <w:sz w:val="28"/>
          <w:szCs w:val="28"/>
        </w:rPr>
        <w:t xml:space="preserve">размещению на информационных стендах участковых избирательных комиссий в соответствии с приложением № 2</w:t>
      </w:r>
      <w:r>
        <w:rPr>
          <w:sz w:val="28"/>
          <w:szCs w:val="28"/>
        </w:rPr>
        <w:t xml:space="preserve">.</w:t>
      </w:r>
      <w:r>
        <w:rPr>
          <w:sz w:val="28"/>
          <w:szCs w:val="28"/>
        </w:rPr>
      </w:r>
      <w:r>
        <w:rPr>
          <w:sz w:val="28"/>
          <w:szCs w:val="28"/>
        </w:rPr>
      </w:r>
    </w:p>
    <w:p>
      <w:pPr>
        <w:pStyle w:val="686"/>
        <w:ind w:left="0" w:firstLine="709"/>
        <w:jc w:val="both"/>
        <w:spacing w:after="0" w:line="276" w:lineRule="auto"/>
        <w:widowControl w:val="off"/>
        <w:rPr>
          <w:sz w:val="28"/>
          <w:szCs w:val="28"/>
        </w:rPr>
      </w:pPr>
      <w:r>
        <w:rPr>
          <w:sz w:val="28"/>
          <w:szCs w:val="28"/>
        </w:rPr>
      </w:r>
      <w:r>
        <w:rPr>
          <w:sz w:val="28"/>
          <w:szCs w:val="28"/>
        </w:rPr>
      </w:r>
    </w:p>
    <w:p>
      <w:pPr>
        <w:pStyle w:val="686"/>
        <w:ind w:left="0" w:firstLine="709"/>
        <w:jc w:val="both"/>
        <w:spacing w:after="0" w:line="276" w:lineRule="auto"/>
        <w:widowControl w:val="off"/>
        <w:rPr>
          <w:sz w:val="28"/>
          <w:szCs w:val="28"/>
          <w:highlight w:val="none"/>
        </w:rPr>
      </w:pPr>
      <w:r>
        <w:rPr>
          <w:sz w:val="28"/>
          <w:szCs w:val="28"/>
        </w:rPr>
        <w:t xml:space="preserve">3. </w:t>
      </w:r>
      <w:r>
        <w:rPr>
          <w:sz w:val="28"/>
          <w:szCs w:val="28"/>
        </w:rPr>
        <w:t xml:space="preserve">Установить, что информация о выявленных фактах недостоверности сведений, представленных кандидатами в депутаты </w:t>
      </w:r>
      <w:r>
        <w:rPr>
          <w:sz w:val="28"/>
          <w:szCs w:val="28"/>
        </w:rPr>
        <w:t xml:space="preserve">Совета депутатов муниципального округа Воротынский</w:t>
      </w:r>
      <w:r>
        <w:rPr>
          <w:szCs w:val="28"/>
        </w:rPr>
        <w:t xml:space="preserve"> </w:t>
      </w:r>
      <w:r>
        <w:rPr>
          <w:sz w:val="28"/>
          <w:szCs w:val="28"/>
        </w:rPr>
        <w:t xml:space="preserve">Нижегородской области второго созыва по одномандатным </w:t>
      </w:r>
      <w:r>
        <w:rPr>
          <w:sz w:val="28"/>
          <w:szCs w:val="28"/>
        </w:rPr>
        <w:t xml:space="preserve">избирательным округам №9 и №12</w:t>
      </w:r>
      <w:r/>
      <w:r>
        <w:rPr>
          <w:sz w:val="28"/>
          <w:szCs w:val="28"/>
        </w:rPr>
      </w:r>
      <w:r>
        <w:rPr>
          <w:sz w:val="28"/>
          <w:szCs w:val="28"/>
        </w:rPr>
        <w:t xml:space="preserve">, подлежит передаче в газету </w:t>
      </w:r>
      <w:r>
        <w:rPr>
          <w:sz w:val="28"/>
          <w:szCs w:val="28"/>
        </w:rPr>
        <w:t xml:space="preserve">«Воротынская газета» </w:t>
      </w:r>
      <w:r>
        <w:rPr>
          <w:sz w:val="28"/>
          <w:szCs w:val="28"/>
        </w:rPr>
        <w:t xml:space="preserve">и  размещению на информационных стендах участковых избирательных комиссий </w:t>
      </w:r>
      <w:r>
        <w:rPr>
          <w:sz w:val="28"/>
          <w:szCs w:val="28"/>
        </w:rPr>
        <w:t xml:space="preserve"> в соответствии   с </w:t>
      </w:r>
      <w:r>
        <w:rPr>
          <w:sz w:val="28"/>
          <w:szCs w:val="28"/>
        </w:rPr>
        <w:t xml:space="preserve">приложение</w:t>
      </w:r>
      <w:r>
        <w:rPr>
          <w:sz w:val="28"/>
          <w:szCs w:val="28"/>
        </w:rPr>
        <w:t xml:space="preserve">м</w:t>
      </w:r>
      <w:r>
        <w:rPr>
          <w:sz w:val="28"/>
          <w:szCs w:val="28"/>
        </w:rPr>
        <w:t xml:space="preserve"> № 3.</w:t>
      </w:r>
      <w:r>
        <w:rPr>
          <w:sz w:val="28"/>
          <w:szCs w:val="28"/>
        </w:rPr>
      </w:r>
      <w:r>
        <w:rPr>
          <w:sz w:val="28"/>
          <w:szCs w:val="28"/>
          <w:highlight w:val="none"/>
        </w:rPr>
      </w:r>
    </w:p>
    <w:p>
      <w:pPr>
        <w:pStyle w:val="686"/>
        <w:ind w:left="0" w:firstLine="709"/>
        <w:jc w:val="both"/>
        <w:spacing w:after="0" w:line="276" w:lineRule="auto"/>
        <w:widowControl w:val="off"/>
        <w:rPr>
          <w:sz w:val="28"/>
          <w:szCs w:val="28"/>
        </w:rPr>
      </w:pPr>
      <w:r>
        <w:rPr>
          <w:sz w:val="28"/>
          <w:szCs w:val="28"/>
          <w:highlight w:val="none"/>
        </w:rPr>
      </w:r>
      <w:r>
        <w:rPr>
          <w:sz w:val="28"/>
          <w:szCs w:val="28"/>
          <w:highlight w:val="none"/>
        </w:rPr>
      </w:r>
    </w:p>
    <w:p>
      <w:pPr>
        <w:pStyle w:val="655"/>
        <w:jc w:val="both"/>
        <w:rPr>
          <w:rFonts w:ascii="Times New Roman" w:hAnsi="Times New Roman"/>
          <w:color w:val="000000"/>
          <w:sz w:val="28"/>
          <w:szCs w:val="28"/>
          <w:highlight w:val="none"/>
        </w:rPr>
      </w:pPr>
      <w:r>
        <w:rPr>
          <w:rFonts w:ascii="Times New Roman" w:hAnsi="Times New Roman"/>
          <w:sz w:val="28"/>
          <w:szCs w:val="28"/>
        </w:rPr>
        <w:t xml:space="preserve">         4</w:t>
      </w:r>
      <w:r>
        <w:rPr>
          <w:rFonts w:ascii="Times New Roman" w:hAnsi="Times New Roman"/>
          <w:sz w:val="28"/>
          <w:szCs w:val="28"/>
        </w:rPr>
        <w:t xml:space="preserve">.</w:t>
      </w:r>
      <w:r>
        <w:rPr>
          <w:rFonts w:ascii="Times New Roman" w:hAnsi="Times New Roman"/>
          <w:sz w:val="28"/>
          <w:szCs w:val="28"/>
        </w:rPr>
        <w:t xml:space="preserve">Р</w:t>
      </w:r>
      <w:r>
        <w:rPr>
          <w:rFonts w:ascii="Times New Roman" w:hAnsi="Times New Roman"/>
          <w:color w:val="000000"/>
          <w:sz w:val="28"/>
          <w:szCs w:val="28"/>
        </w:rPr>
        <w:t xml:space="preserve">азместить настоящее постановление на портале органов местного </w:t>
      </w:r>
      <w:r>
        <w:rPr>
          <w:rFonts w:ascii="Times New Roman" w:hAnsi="Times New Roman"/>
          <w:color w:val="000000"/>
          <w:sz w:val="28"/>
          <w:szCs w:val="28"/>
        </w:rPr>
        <w:t xml:space="preserve">  с</w:t>
      </w:r>
      <w:r>
        <w:rPr>
          <w:rFonts w:ascii="Times New Roman" w:hAnsi="Times New Roman"/>
          <w:color w:val="000000"/>
          <w:sz w:val="28"/>
          <w:szCs w:val="28"/>
        </w:rPr>
        <w:t xml:space="preserve">амоуправления в разделе «Т</w:t>
      </w:r>
      <w:r>
        <w:rPr>
          <w:rFonts w:ascii="Times New Roman" w:hAnsi="Times New Roman"/>
          <w:sz w:val="28"/>
          <w:szCs w:val="28"/>
        </w:rPr>
        <w:t xml:space="preserve">ерриториальная избирательная комиссия муниципального округа Воротынский Нижегородской области»</w:t>
      </w:r>
      <w:r>
        <w:rPr>
          <w:rFonts w:ascii="Times New Roman" w:hAnsi="Times New Roman"/>
          <w:color w:val="000000"/>
          <w:sz w:val="28"/>
          <w:szCs w:val="28"/>
        </w:rPr>
        <w:t xml:space="preserve">.</w:t>
      </w:r>
      <w:r>
        <w:rPr>
          <w:rFonts w:ascii="Times New Roman" w:hAnsi="Times New Roman"/>
          <w:color w:val="000000"/>
          <w:sz w:val="28"/>
          <w:szCs w:val="28"/>
        </w:rPr>
      </w:r>
      <w:r>
        <w:rPr>
          <w:rFonts w:ascii="Times New Roman" w:hAnsi="Times New Roman"/>
          <w:color w:val="000000"/>
          <w:sz w:val="28"/>
          <w:szCs w:val="28"/>
          <w:highlight w:val="none"/>
        </w:rPr>
      </w:r>
    </w:p>
    <w:p>
      <w:pPr>
        <w:jc w:val="both"/>
        <w:rPr>
          <w:rFonts w:ascii="Times New Roman" w:hAnsi="Times New Roman"/>
          <w:color w:val="000000"/>
          <w:sz w:val="28"/>
          <w:szCs w:val="28"/>
        </w:rPr>
      </w:pPr>
      <w:r>
        <w:rPr>
          <w:rFonts w:ascii="Times New Roman" w:hAnsi="Times New Roman"/>
          <w:color w:val="000000"/>
          <w:sz w:val="28"/>
          <w:szCs w:val="28"/>
        </w:rPr>
      </w:r>
      <w:r>
        <w:rPr>
          <w:rFonts w:ascii="Times New Roman" w:hAnsi="Times New Roman"/>
          <w:color w:val="000000"/>
          <w:sz w:val="28"/>
          <w:szCs w:val="28"/>
        </w:rPr>
      </w:r>
    </w:p>
    <w:p>
      <w:pPr>
        <w:jc w:val="both"/>
        <w:rPr>
          <w:rFonts w:ascii="Times New Roman" w:hAnsi="Times New Roman"/>
          <w:color w:val="000000"/>
          <w:sz w:val="28"/>
          <w:szCs w:val="28"/>
          <w:highlight w:val="none"/>
        </w:rPr>
      </w:pPr>
      <w:r>
        <w:rPr>
          <w:rFonts w:ascii="Times New Roman" w:hAnsi="Times New Roman"/>
          <w:color w:val="000000"/>
          <w:sz w:val="28"/>
          <w:szCs w:val="28"/>
          <w:highlight w:val="none"/>
        </w:rPr>
        <w:t xml:space="preserve">Председатель                                                                                Г.Н. Исатченко</w:t>
      </w:r>
      <w:r>
        <w:rPr>
          <w:rFonts w:ascii="Times New Roman" w:hAnsi="Times New Roman"/>
          <w:color w:val="000000"/>
          <w:sz w:val="28"/>
          <w:szCs w:val="28"/>
          <w:highlight w:val="none"/>
        </w:rPr>
      </w:r>
    </w:p>
    <w:p>
      <w:pPr>
        <w:jc w:val="both"/>
        <w:rPr>
          <w:rFonts w:ascii="Times New Roman" w:hAnsi="Times New Roman"/>
          <w:color w:val="000000"/>
          <w:sz w:val="28"/>
          <w:szCs w:val="28"/>
        </w:rPr>
      </w:pPr>
      <w:r>
        <w:rPr>
          <w:rFonts w:ascii="Times New Roman" w:hAnsi="Times New Roman"/>
          <w:color w:val="000000"/>
          <w:sz w:val="28"/>
          <w:szCs w:val="28"/>
        </w:rPr>
      </w:r>
      <w:r>
        <w:rPr>
          <w:rFonts w:ascii="Times New Roman" w:hAnsi="Times New Roman"/>
          <w:color w:val="000000"/>
          <w:sz w:val="28"/>
          <w:szCs w:val="28"/>
        </w:rPr>
      </w:r>
    </w:p>
    <w:p>
      <w:pPr>
        <w:jc w:val="both"/>
        <w:rPr>
          <w:rFonts w:ascii="Times New Roman" w:hAnsi="Times New Roman"/>
          <w:color w:val="000000"/>
          <w:sz w:val="28"/>
          <w:szCs w:val="28"/>
        </w:rPr>
      </w:pPr>
      <w:r>
        <w:rPr>
          <w:rFonts w:ascii="Times New Roman" w:hAnsi="Times New Roman"/>
          <w:color w:val="000000"/>
          <w:sz w:val="28"/>
          <w:szCs w:val="28"/>
          <w:highlight w:val="none"/>
        </w:rPr>
        <w:t xml:space="preserve">Секретарь                                                                                      Т.А. Герасимова </w:t>
      </w:r>
      <w:r>
        <w:rPr>
          <w:rFonts w:ascii="Times New Roman" w:hAnsi="Times New Roman"/>
          <w:color w:val="000000"/>
          <w:sz w:val="28"/>
          <w:szCs w:val="28"/>
          <w:highlight w:val="none"/>
        </w:rPr>
      </w:r>
    </w:p>
    <w:p>
      <w:pPr>
        <w:pStyle w:val="655"/>
        <w:rPr>
          <w:color w:val="000000"/>
          <w:sz w:val="28"/>
          <w:szCs w:val="28"/>
        </w:rPr>
      </w:pPr>
      <w:r>
        <w:rPr>
          <w:color w:val="000000"/>
          <w:sz w:val="28"/>
          <w:szCs w:val="28"/>
        </w:rPr>
      </w:r>
      <w:r>
        <w:rPr>
          <w:color w:val="000000"/>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spacing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55"/>
        <w:ind w:firstLine="567"/>
        <w:jc w:val="right"/>
        <w:spacing w:after="0"/>
        <w:rPr>
          <w:rFonts w:ascii="Times New Roman" w:hAnsi="Times New Roman"/>
          <w:sz w:val="28"/>
          <w:szCs w:val="28"/>
        </w:rPr>
      </w:pPr>
      <w:r>
        <w:rPr>
          <w:rFonts w:ascii="Times New Roman" w:hAnsi="Times New Roman"/>
          <w:sz w:val="28"/>
          <w:szCs w:val="28"/>
        </w:rPr>
        <w:t xml:space="preserve">Приложение № 1</w:t>
      </w:r>
      <w:r>
        <w:rPr>
          <w:rFonts w:ascii="Times New Roman" w:hAnsi="Times New Roman"/>
          <w:sz w:val="28"/>
          <w:szCs w:val="28"/>
        </w:rPr>
      </w:r>
      <w:r>
        <w:rPr>
          <w:rFonts w:ascii="Times New Roman" w:hAnsi="Times New Roman"/>
          <w:sz w:val="28"/>
          <w:szCs w:val="28"/>
        </w:rPr>
      </w:r>
    </w:p>
    <w:p>
      <w:pPr>
        <w:pStyle w:val="655"/>
        <w:ind w:firstLine="567"/>
        <w:jc w:val="right"/>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p>
      <w:pPr>
        <w:pStyle w:val="655"/>
        <w:jc w:val="center"/>
        <w:spacing w:after="0"/>
        <w:rPr>
          <w:rFonts w:ascii="Times New Roman" w:hAnsi="Times New Roman"/>
          <w:b/>
          <w:bCs/>
          <w:sz w:val="28"/>
          <w:szCs w:val="28"/>
        </w:rPr>
      </w:pPr>
      <w:r>
        <w:rPr>
          <w:rFonts w:ascii="Times New Roman" w:hAnsi="Times New Roman"/>
          <w:b/>
          <w:bCs/>
          <w:sz w:val="28"/>
          <w:szCs w:val="28"/>
        </w:rPr>
        <w:t xml:space="preserve">Сведения о зарегистрированных кандидатах в депутаты</w:t>
      </w:r>
      <w:r>
        <w:rPr>
          <w:rFonts w:ascii="Times New Roman" w:hAnsi="Times New Roman"/>
          <w:b/>
          <w:bCs/>
          <w:sz w:val="28"/>
          <w:szCs w:val="28"/>
        </w:rPr>
      </w:r>
    </w:p>
    <w:p>
      <w:pPr>
        <w:pStyle w:val="655"/>
        <w:ind w:firstLine="540"/>
        <w:jc w:val="center"/>
        <w:spacing w:after="0"/>
        <w:rPr>
          <w:rFonts w:ascii="Times New Roman" w:hAnsi="Times New Roman"/>
          <w:sz w:val="28"/>
          <w:szCs w:val="28"/>
        </w:rPr>
        <w:outlineLvl w:val="0"/>
      </w:pPr>
      <w:r>
        <w:rPr>
          <w:rFonts w:ascii="Times New Roman" w:hAnsi="Times New Roman"/>
          <w:b/>
          <w:sz w:val="28"/>
          <w:szCs w:val="28"/>
        </w:rPr>
        <w:t xml:space="preserve">Совета депутатов городского округа Воротынский</w:t>
      </w:r>
      <w:r>
        <w:rPr>
          <w:rFonts w:ascii="Times New Roman" w:hAnsi="Times New Roman"/>
          <w:b/>
          <w:szCs w:val="28"/>
        </w:rPr>
        <w:t xml:space="preserve"> </w:t>
      </w:r>
      <w:r>
        <w:rPr>
          <w:rFonts w:ascii="Times New Roman" w:hAnsi="Times New Roman"/>
          <w:b/>
          <w:sz w:val="28"/>
          <w:szCs w:val="28"/>
        </w:rPr>
        <w:t xml:space="preserve">Нижегородской области второго созыва</w:t>
      </w:r>
      <w:r>
        <w:rPr>
          <w:rFonts w:ascii="Times New Roman" w:hAnsi="Times New Roman"/>
          <w:sz w:val="28"/>
          <w:szCs w:val="28"/>
        </w:rPr>
      </w:r>
      <w:r>
        <w:rPr>
          <w:rFonts w:ascii="Times New Roman" w:hAnsi="Times New Roman"/>
          <w:sz w:val="28"/>
          <w:szCs w:val="28"/>
        </w:rPr>
      </w:r>
    </w:p>
    <w:p>
      <w:pPr>
        <w:pStyle w:val="655"/>
        <w:ind w:firstLine="540"/>
        <w:jc w:val="both"/>
        <w:spacing w:after="0"/>
        <w:rPr>
          <w:rFonts w:ascii="Times New Roman" w:hAnsi="Times New Roman"/>
          <w:sz w:val="28"/>
          <w:szCs w:val="28"/>
        </w:rPr>
        <w:outlineLvl w:val="0"/>
      </w:pPr>
      <w:r>
        <w:rPr>
          <w:rFonts w:ascii="Times New Roman" w:hAnsi="Times New Roman"/>
          <w:sz w:val="28"/>
          <w:szCs w:val="28"/>
        </w:rPr>
      </w:r>
      <w:r>
        <w:rPr>
          <w:rFonts w:ascii="Times New Roman" w:hAnsi="Times New Roman"/>
          <w:sz w:val="28"/>
          <w:szCs w:val="28"/>
        </w:rPr>
      </w:r>
    </w:p>
    <w:p>
      <w:pPr>
        <w:pStyle w:val="655"/>
        <w:numPr>
          <w:ilvl w:val="0"/>
          <w:numId w:val="14"/>
        </w:numPr>
        <w:jc w:val="both"/>
        <w:spacing w:after="0"/>
        <w:rPr>
          <w:rFonts w:ascii="Times New Roman" w:hAnsi="Times New Roman"/>
          <w:sz w:val="28"/>
          <w:szCs w:val="28"/>
        </w:rPr>
      </w:pPr>
      <w:r>
        <w:rPr>
          <w:rFonts w:ascii="Times New Roman" w:hAnsi="Times New Roman"/>
          <w:sz w:val="28"/>
          <w:szCs w:val="28"/>
        </w:rPr>
        <w:t xml:space="preserve">номер одномандатного избирательного округа</w:t>
      </w:r>
      <w:r>
        <w:rPr>
          <w:rFonts w:ascii="Times New Roman" w:hAnsi="Times New Roman"/>
          <w:sz w:val="28"/>
          <w:szCs w:val="28"/>
        </w:rPr>
      </w:r>
    </w:p>
    <w:p>
      <w:pPr>
        <w:pStyle w:val="655"/>
        <w:numPr>
          <w:ilvl w:val="0"/>
          <w:numId w:val="14"/>
        </w:numPr>
        <w:jc w:val="both"/>
        <w:spacing w:after="0"/>
        <w:rPr>
          <w:rFonts w:ascii="Times New Roman" w:hAnsi="Times New Roman"/>
          <w:sz w:val="28"/>
          <w:szCs w:val="28"/>
        </w:rPr>
      </w:pPr>
      <w:r>
        <w:rPr>
          <w:rFonts w:ascii="Times New Roman" w:hAnsi="Times New Roman"/>
          <w:sz w:val="28"/>
          <w:szCs w:val="28"/>
        </w:rPr>
        <w:t xml:space="preserve">фамилия, имя, отчество кандидата;</w:t>
      </w:r>
      <w:r>
        <w:rPr>
          <w:rFonts w:ascii="Times New Roman" w:hAnsi="Times New Roman"/>
          <w:sz w:val="28"/>
          <w:szCs w:val="28"/>
        </w:rPr>
      </w:r>
    </w:p>
    <w:p>
      <w:pPr>
        <w:pStyle w:val="655"/>
        <w:numPr>
          <w:ilvl w:val="0"/>
          <w:numId w:val="14"/>
        </w:numPr>
        <w:jc w:val="both"/>
        <w:spacing w:after="0"/>
        <w:rPr>
          <w:rFonts w:ascii="Times New Roman" w:hAnsi="Times New Roman"/>
          <w:sz w:val="28"/>
          <w:szCs w:val="28"/>
        </w:rPr>
      </w:pPr>
      <w:r>
        <w:rPr>
          <w:rFonts w:ascii="Times New Roman" w:hAnsi="Times New Roman"/>
          <w:sz w:val="28"/>
          <w:szCs w:val="28"/>
        </w:rPr>
        <w:t xml:space="preserve">если кандидат менял фамилию, или</w:t>
      </w:r>
      <w:r>
        <w:rPr>
          <w:rFonts w:ascii="Times New Roman" w:hAnsi="Times New Roman"/>
          <w:sz w:val="28"/>
          <w:szCs w:val="28"/>
        </w:rPr>
        <w:t xml:space="preserve"> имя, или отчество в период избирательной кампании либо в течение года до дня официального опубликования (публикации) решения о назначении выборов, указываются слова "Прежние фамилия (или  имя, или отчество): " и его прежние фамилия, или имя, или отчество;</w:t>
      </w:r>
      <w:r>
        <w:rPr>
          <w:rFonts w:ascii="Times New Roman" w:hAnsi="Times New Roman"/>
          <w:sz w:val="28"/>
          <w:szCs w:val="28"/>
        </w:rPr>
      </w:r>
    </w:p>
    <w:p>
      <w:pPr>
        <w:pStyle w:val="655"/>
        <w:numPr>
          <w:ilvl w:val="0"/>
          <w:numId w:val="14"/>
        </w:numPr>
        <w:jc w:val="both"/>
        <w:spacing w:after="0"/>
        <w:rPr>
          <w:rFonts w:ascii="Times New Roman" w:hAnsi="Times New Roman"/>
          <w:sz w:val="28"/>
          <w:szCs w:val="28"/>
        </w:rPr>
      </w:pPr>
      <w:r>
        <w:rPr>
          <w:rFonts w:ascii="Times New Roman" w:hAnsi="Times New Roman"/>
          <w:sz w:val="28"/>
          <w:szCs w:val="28"/>
        </w:rPr>
        <w:t xml:space="preserve">год рождения;</w:t>
      </w:r>
      <w:r>
        <w:rPr>
          <w:rFonts w:ascii="Times New Roman" w:hAnsi="Times New Roman"/>
          <w:sz w:val="28"/>
          <w:szCs w:val="28"/>
        </w:rPr>
      </w:r>
    </w:p>
    <w:p>
      <w:pPr>
        <w:pStyle w:val="655"/>
        <w:numPr>
          <w:ilvl w:val="0"/>
          <w:numId w:val="14"/>
        </w:numPr>
        <w:jc w:val="both"/>
        <w:spacing w:after="0"/>
        <w:rPr>
          <w:rFonts w:ascii="Times New Roman" w:hAnsi="Times New Roman"/>
          <w:sz w:val="28"/>
          <w:szCs w:val="28"/>
        </w:rPr>
      </w:pPr>
      <w:r>
        <w:rPr>
          <w:rFonts w:ascii="Times New Roman" w:hAnsi="Times New Roman"/>
          <w:sz w:val="28"/>
          <w:szCs w:val="28"/>
        </w:rPr>
        <w:t xml:space="preserve">наименование субъекта Российской Федерации, района, города, иного населенного пункта, где находится место жительства кандидата;</w:t>
      </w:r>
      <w:r>
        <w:rPr>
          <w:rFonts w:ascii="Times New Roman" w:hAnsi="Times New Roman"/>
          <w:sz w:val="28"/>
          <w:szCs w:val="28"/>
        </w:rPr>
      </w:r>
    </w:p>
    <w:p>
      <w:pPr>
        <w:pStyle w:val="655"/>
        <w:numPr>
          <w:ilvl w:val="0"/>
          <w:numId w:val="14"/>
        </w:numPr>
        <w:jc w:val="both"/>
        <w:spacing w:after="0"/>
        <w:rPr>
          <w:rFonts w:ascii="Times New Roman" w:hAnsi="Times New Roman"/>
          <w:sz w:val="28"/>
          <w:szCs w:val="28"/>
        </w:rPr>
      </w:pPr>
      <w:r>
        <w:rPr>
          <w:rFonts w:ascii="Times New Roman" w:hAnsi="Times New Roman"/>
          <w:sz w:val="28"/>
          <w:szCs w:val="28"/>
        </w:rPr>
        <w:t xml:space="preserve">основное место работы или службы, занимаемая должность (в случае отсутствия основно</w:t>
      </w:r>
      <w:r>
        <w:rPr>
          <w:rFonts w:ascii="Times New Roman" w:hAnsi="Times New Roman"/>
          <w:sz w:val="28"/>
          <w:szCs w:val="28"/>
        </w:rPr>
        <w:t xml:space="preserve">го места работы или службы указывается род занятий). Если зарегистрированный кандидат является депутатом и осуществляет свои полномочия на непостоянной основе, указываются сведения об этом с указанием наименования соответствующего представительного органа;</w:t>
      </w:r>
      <w:r>
        <w:rPr>
          <w:rFonts w:ascii="Times New Roman" w:hAnsi="Times New Roman"/>
          <w:sz w:val="28"/>
          <w:szCs w:val="28"/>
        </w:rPr>
      </w:r>
    </w:p>
    <w:p>
      <w:pPr>
        <w:pStyle w:val="655"/>
        <w:numPr>
          <w:ilvl w:val="0"/>
          <w:numId w:val="14"/>
        </w:numPr>
        <w:jc w:val="both"/>
        <w:spacing w:after="0"/>
      </w:pPr>
      <w:r>
        <w:rPr>
          <w:rFonts w:ascii="Times New Roman" w:hAnsi="Times New Roman"/>
          <w:sz w:val="28"/>
          <w:szCs w:val="28"/>
        </w:rPr>
        <w:t xml:space="preserve">если кандидат выдвинут избирательным объединением - слова "выдвинут избирательным объединением" с указанием наименования соответствующего избирательного объединения, если кандидат сам выдвинул свою кандидатуру - слово "самовыдвижение" </w:t>
      </w:r>
      <w:r/>
    </w:p>
    <w:p>
      <w:pPr>
        <w:pStyle w:val="655"/>
        <w:numPr>
          <w:ilvl w:val="0"/>
          <w:numId w:val="14"/>
        </w:numPr>
        <w:jc w:val="both"/>
        <w:spacing w:after="0"/>
        <w:rPr>
          <w:rFonts w:ascii="Times New Roman" w:hAnsi="Times New Roman"/>
          <w:sz w:val="28"/>
          <w:szCs w:val="28"/>
        </w:rPr>
      </w:pPr>
      <w:r>
        <w:rPr>
          <w:rFonts w:ascii="Times New Roman" w:hAnsi="Times New Roman"/>
          <w:sz w:val="28"/>
          <w:szCs w:val="28"/>
        </w:rPr>
        <w:t xml:space="preserve">если кандидат в своем заявлении о согласии баллоти</w:t>
      </w:r>
      <w:r>
        <w:rPr>
          <w:rFonts w:ascii="Times New Roman" w:hAnsi="Times New Roman"/>
          <w:sz w:val="28"/>
          <w:szCs w:val="28"/>
        </w:rPr>
        <w:t xml:space="preserve">роваться указал свою принадлежность к политической партии либо к иному общественному объединению, - наименование данной политической партии, данного общественного объединения и статус кандидата в данной политической партии, данном общественном объединении;</w:t>
      </w:r>
      <w:r>
        <w:rPr>
          <w:rFonts w:ascii="Times New Roman" w:hAnsi="Times New Roman"/>
          <w:sz w:val="28"/>
          <w:szCs w:val="28"/>
        </w:rPr>
      </w:r>
    </w:p>
    <w:p>
      <w:pPr>
        <w:pStyle w:val="655"/>
        <w:numPr>
          <w:ilvl w:val="0"/>
          <w:numId w:val="14"/>
        </w:numPr>
        <w:jc w:val="both"/>
        <w:spacing w:after="0"/>
        <w:rPr>
          <w:rFonts w:ascii="Times New Roman" w:hAnsi="Times New Roman"/>
          <w:sz w:val="28"/>
          <w:szCs w:val="28"/>
        </w:rPr>
      </w:pPr>
      <w:r>
        <w:rPr>
          <w:rFonts w:ascii="Times New Roman" w:hAnsi="Times New Roman"/>
          <w:sz w:val="28"/>
          <w:szCs w:val="28"/>
        </w:rPr>
        <w:t xml:space="preserve">если у зарегистрированного кандидата имелась или имеется судимость, - сведения о судимости кандидата, а если судимость снята или погашена, - также сведения о дате снятия или погашения судимости;</w:t>
      </w:r>
      <w:r>
        <w:rPr>
          <w:rFonts w:ascii="Times New Roman" w:hAnsi="Times New Roman"/>
          <w:sz w:val="28"/>
          <w:szCs w:val="28"/>
        </w:rPr>
      </w:r>
    </w:p>
    <w:p>
      <w:pPr>
        <w:pStyle w:val="655"/>
        <w:numPr>
          <w:ilvl w:val="0"/>
          <w:numId w:val="14"/>
        </w:numPr>
        <w:jc w:val="both"/>
        <w:spacing w:after="0"/>
        <w:rPr>
          <w:rFonts w:ascii="Times New Roman" w:hAnsi="Times New Roman"/>
          <w:sz w:val="28"/>
          <w:szCs w:val="28"/>
        </w:rPr>
      </w:pPr>
      <w:r>
        <w:rPr>
          <w:rFonts w:ascii="Times New Roman" w:hAnsi="Times New Roman"/>
          <w:sz w:val="28"/>
          <w:szCs w:val="28"/>
        </w:rPr>
        <w:t xml:space="preserve">если зарегистрированный кандидат, в том числе в составе списка кандидатов, является </w:t>
      </w:r>
      <w:r>
        <w:rPr>
          <w:rFonts w:ascii="Times New Roman" w:hAnsi="Times New Roman"/>
          <w:sz w:val="28"/>
          <w:szCs w:val="28"/>
        </w:rPr>
        <w:t xml:space="preserve">иностранным агентом, либо кандидатом, аффилированным с иностранным агентом</w:t>
      </w:r>
      <w:r>
        <w:rPr>
          <w:rFonts w:ascii="Times New Roman" w:hAnsi="Times New Roman"/>
          <w:sz w:val="28"/>
          <w:szCs w:val="28"/>
        </w:rPr>
        <w:t xml:space="preserve">.</w:t>
      </w:r>
      <w:r>
        <w:rPr>
          <w:rFonts w:ascii="Times New Roman" w:hAnsi="Times New Roman"/>
          <w:sz w:val="28"/>
          <w:szCs w:val="28"/>
        </w:rPr>
      </w:r>
    </w:p>
    <w:p>
      <w:pPr>
        <w:pStyle w:val="655"/>
        <w:ind w:firstLine="539"/>
        <w:jc w:val="right"/>
        <w:spacing w:after="0"/>
        <w:rPr>
          <w:rFonts w:ascii="Times New Roman" w:hAnsi="Times New Roman"/>
          <w:sz w:val="28"/>
          <w:szCs w:val="28"/>
        </w:rPr>
      </w:pPr>
      <w:r>
        <w:rPr>
          <w:sz w:val="28"/>
          <w:szCs w:val="28"/>
        </w:rPr>
        <w:br w:type="page" w:clear="all"/>
      </w:r>
      <w:r>
        <w:rPr>
          <w:rFonts w:ascii="Times New Roman" w:hAnsi="Times New Roman"/>
          <w:sz w:val="28"/>
          <w:szCs w:val="28"/>
        </w:rPr>
        <w:t xml:space="preserve">Приложение № 2</w:t>
      </w:r>
      <w:r>
        <w:rPr>
          <w:rFonts w:ascii="Times New Roman" w:hAnsi="Times New Roman"/>
          <w:sz w:val="28"/>
          <w:szCs w:val="28"/>
        </w:rPr>
      </w:r>
    </w:p>
    <w:p>
      <w:pPr>
        <w:pStyle w:val="655"/>
        <w:ind w:firstLine="539"/>
        <w:jc w:val="right"/>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p>
      <w:pPr>
        <w:pStyle w:val="655"/>
        <w:ind w:firstLine="540"/>
        <w:jc w:val="center"/>
        <w:spacing w:after="0"/>
        <w:rPr>
          <w:rFonts w:ascii="Times New Roman" w:hAnsi="Times New Roman"/>
          <w:b/>
          <w:sz w:val="28"/>
          <w:szCs w:val="28"/>
        </w:rPr>
        <w:outlineLvl w:val="0"/>
      </w:pPr>
      <w:r>
        <w:rPr>
          <w:rFonts w:ascii="Times New Roman" w:hAnsi="Times New Roman"/>
          <w:b/>
          <w:sz w:val="28"/>
          <w:szCs w:val="28"/>
        </w:rPr>
        <w:t xml:space="preserve">Сведения о доходах и об имуществе кандидатов в депутаты </w:t>
      </w:r>
      <w:r>
        <w:rPr>
          <w:rFonts w:ascii="Times New Roman" w:hAnsi="Times New Roman"/>
          <w:b/>
          <w:sz w:val="28"/>
          <w:szCs w:val="28"/>
        </w:rPr>
        <w:t xml:space="preserve">Совета депутатов городского округа Воротынский</w:t>
      </w:r>
      <w:r>
        <w:rPr>
          <w:rFonts w:ascii="Times New Roman" w:hAnsi="Times New Roman"/>
          <w:b/>
          <w:szCs w:val="28"/>
        </w:rPr>
        <w:t xml:space="preserve"> </w:t>
      </w:r>
      <w:r>
        <w:rPr>
          <w:rFonts w:ascii="Times New Roman" w:hAnsi="Times New Roman"/>
          <w:b/>
          <w:sz w:val="28"/>
          <w:szCs w:val="28"/>
        </w:rPr>
        <w:t xml:space="preserve">Нижегородской области</w:t>
      </w:r>
      <w:r>
        <w:rPr>
          <w:rFonts w:ascii="Times New Roman" w:hAnsi="Times New Roman"/>
          <w:b/>
          <w:sz w:val="28"/>
          <w:szCs w:val="28"/>
        </w:rPr>
      </w:r>
      <w:r>
        <w:rPr>
          <w:rFonts w:ascii="Times New Roman" w:hAnsi="Times New Roman"/>
          <w:b/>
          <w:sz w:val="28"/>
          <w:szCs w:val="28"/>
        </w:rPr>
      </w:r>
    </w:p>
    <w:p>
      <w:pPr>
        <w:pStyle w:val="655"/>
        <w:ind w:firstLine="540"/>
        <w:jc w:val="center"/>
        <w:spacing w:after="0"/>
        <w:rPr>
          <w:rFonts w:ascii="Times New Roman" w:hAnsi="Times New Roman"/>
          <w:sz w:val="28"/>
          <w:szCs w:val="28"/>
        </w:rPr>
        <w:outlineLvl w:val="0"/>
      </w:pPr>
      <w:r>
        <w:rPr>
          <w:rFonts w:ascii="Times New Roman" w:hAnsi="Times New Roman"/>
          <w:b/>
          <w:sz w:val="28"/>
          <w:szCs w:val="28"/>
        </w:rPr>
        <w:t xml:space="preserve"> второго созыва</w:t>
      </w:r>
      <w:r>
        <w:rPr>
          <w:rFonts w:ascii="Times New Roman" w:hAnsi="Times New Roman"/>
          <w:sz w:val="28"/>
          <w:szCs w:val="28"/>
        </w:rPr>
      </w:r>
      <w:r>
        <w:rPr>
          <w:rFonts w:ascii="Times New Roman" w:hAnsi="Times New Roman"/>
          <w:sz w:val="28"/>
          <w:szCs w:val="28"/>
        </w:rPr>
      </w:r>
    </w:p>
    <w:p>
      <w:pPr>
        <w:pStyle w:val="655"/>
        <w:ind w:firstLine="539"/>
        <w:jc w:val="center"/>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p>
      <w:pPr>
        <w:pStyle w:val="655"/>
        <w:ind w:firstLine="539"/>
        <w:jc w:val="both"/>
        <w:spacing w:after="0"/>
        <w:rPr>
          <w:rFonts w:ascii="Times New Roman" w:hAnsi="Times New Roman"/>
          <w:sz w:val="28"/>
          <w:szCs w:val="28"/>
        </w:rPr>
      </w:pPr>
      <w:r>
        <w:rPr>
          <w:rFonts w:ascii="Times New Roman" w:hAnsi="Times New Roman"/>
          <w:sz w:val="28"/>
          <w:szCs w:val="28"/>
        </w:rPr>
        <w:t xml:space="preserve">Представленные кандидатом сведения о размере и источниках доходов и имуществе зарегистрированного кандидата:</w:t>
      </w:r>
      <w:r>
        <w:rPr>
          <w:rFonts w:ascii="Times New Roman" w:hAnsi="Times New Roman"/>
          <w:sz w:val="28"/>
          <w:szCs w:val="28"/>
        </w:rPr>
      </w:r>
      <w:r>
        <w:rPr>
          <w:rFonts w:ascii="Times New Roman" w:hAnsi="Times New Roman"/>
          <w:sz w:val="28"/>
          <w:szCs w:val="28"/>
        </w:rPr>
      </w:r>
    </w:p>
    <w:p>
      <w:pPr>
        <w:pStyle w:val="655"/>
        <w:ind w:firstLine="539"/>
        <w:jc w:val="both"/>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p>
      <w:pPr>
        <w:pStyle w:val="655"/>
        <w:ind w:firstLine="539"/>
        <w:jc w:val="both"/>
        <w:spacing w:after="0"/>
        <w:rPr>
          <w:rFonts w:ascii="Times New Roman" w:hAnsi="Times New Roman"/>
          <w:sz w:val="28"/>
          <w:szCs w:val="28"/>
        </w:rPr>
      </w:pPr>
      <w:r>
        <w:rPr>
          <w:rFonts w:ascii="Times New Roman" w:hAnsi="Times New Roman"/>
          <w:sz w:val="28"/>
          <w:szCs w:val="28"/>
        </w:rPr>
        <w:t xml:space="preserve">- источники выплат и общая сумма доходов зарегистрированного кандидата за год, предшествующий году назначения выборов (в рублях);</w:t>
      </w:r>
      <w:r>
        <w:rPr>
          <w:rFonts w:ascii="Times New Roman" w:hAnsi="Times New Roman"/>
          <w:sz w:val="28"/>
          <w:szCs w:val="28"/>
        </w:rPr>
      </w:r>
      <w:r>
        <w:rPr>
          <w:rFonts w:ascii="Times New Roman" w:hAnsi="Times New Roman"/>
          <w:sz w:val="28"/>
          <w:szCs w:val="28"/>
        </w:rPr>
      </w:r>
    </w:p>
    <w:p>
      <w:pPr>
        <w:pStyle w:val="655"/>
        <w:ind w:firstLine="539"/>
        <w:jc w:val="both"/>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p>
      <w:pPr>
        <w:pStyle w:val="655"/>
        <w:ind w:firstLine="539"/>
        <w:jc w:val="both"/>
        <w:spacing w:after="0"/>
        <w:rPr>
          <w:rFonts w:ascii="Times New Roman" w:hAnsi="Times New Roman"/>
          <w:sz w:val="28"/>
          <w:szCs w:val="28"/>
        </w:rPr>
      </w:pPr>
      <w:r>
        <w:rPr>
          <w:rFonts w:ascii="Times New Roman" w:hAnsi="Times New Roman"/>
          <w:sz w:val="28"/>
          <w:szCs w:val="28"/>
        </w:rPr>
        <w:t xml:space="preserve">- недвижимое имущество: земельные участки (количество, общая площадь (кв. м) каждого, наименовани</w:t>
      </w:r>
      <w:r>
        <w:rPr>
          <w:rFonts w:ascii="Times New Roman" w:hAnsi="Times New Roman"/>
          <w:sz w:val="28"/>
          <w:szCs w:val="28"/>
        </w:rPr>
        <w:t xml:space="preserve">е субъекта Российской Федерации, на территории которых они находятся), жилые дома (количество, общая площадь (кв. м) каждого, наименование субъектов Российской Федерации, на территории которых они находятся), квартиры, комнаты (количество, общая площадь (к</w:t>
      </w:r>
      <w:r>
        <w:rPr>
          <w:rFonts w:ascii="Times New Roman" w:hAnsi="Times New Roman"/>
          <w:sz w:val="28"/>
          <w:szCs w:val="28"/>
        </w:rPr>
        <w:t xml:space="preserve">в. м) каждой, наименование субъектов Российской Федерации, на территории которых они находятся), садовые дома (количество, общая площадь (кв. м) каждого, наименование субъектов Российской Федерации, на территории которых они находятся), машино-места (колич</w:t>
      </w:r>
      <w:r>
        <w:rPr>
          <w:rFonts w:ascii="Times New Roman" w:hAnsi="Times New Roman"/>
          <w:sz w:val="28"/>
          <w:szCs w:val="28"/>
        </w:rPr>
        <w:t xml:space="preserve">ество, общая площадь (кв. м) каждого, наименование субъектов Российской Федерации, на территории которых они находятся), иное недвижимое имущество с указанием его видов, общей площади (кв. м), наименований субъектов Российской Федерации, где оно находится;</w:t>
      </w:r>
      <w:r>
        <w:rPr>
          <w:rFonts w:ascii="Times New Roman" w:hAnsi="Times New Roman"/>
          <w:sz w:val="28"/>
          <w:szCs w:val="28"/>
        </w:rPr>
      </w:r>
      <w:r>
        <w:rPr>
          <w:rFonts w:ascii="Times New Roman" w:hAnsi="Times New Roman"/>
          <w:sz w:val="28"/>
          <w:szCs w:val="28"/>
        </w:rPr>
      </w:r>
    </w:p>
    <w:p>
      <w:pPr>
        <w:pStyle w:val="655"/>
        <w:ind w:firstLine="539"/>
        <w:jc w:val="both"/>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p>
      <w:pPr>
        <w:pStyle w:val="655"/>
        <w:ind w:firstLine="539"/>
        <w:jc w:val="both"/>
        <w:spacing w:after="0"/>
        <w:rPr>
          <w:rFonts w:ascii="Times New Roman" w:hAnsi="Times New Roman"/>
          <w:sz w:val="28"/>
          <w:szCs w:val="28"/>
        </w:rPr>
      </w:pPr>
      <w:r>
        <w:rPr>
          <w:rFonts w:ascii="Times New Roman" w:hAnsi="Times New Roman"/>
          <w:sz w:val="28"/>
          <w:szCs w:val="28"/>
        </w:rPr>
        <w:t xml:space="preserve">- транспортные средства (указывается их общее количество (шт.), вид, модель, марка и год выпуска каждого).</w:t>
      </w:r>
      <w:r>
        <w:rPr>
          <w:rFonts w:ascii="Times New Roman" w:hAnsi="Times New Roman"/>
          <w:sz w:val="28"/>
          <w:szCs w:val="28"/>
        </w:rPr>
      </w:r>
    </w:p>
    <w:p>
      <w:pPr>
        <w:pStyle w:val="655"/>
        <w:ind w:firstLine="567"/>
        <w:jc w:val="right"/>
        <w:spacing w:after="0"/>
        <w:rPr>
          <w:rFonts w:ascii="Times New Roman" w:hAnsi="Times New Roman"/>
          <w:sz w:val="24"/>
          <w:szCs w:val="24"/>
        </w:rPr>
      </w:pPr>
      <w:r>
        <w:rPr>
          <w:rFonts w:ascii="Times New Roman" w:hAnsi="Times New Roman"/>
          <w:sz w:val="24"/>
          <w:szCs w:val="24"/>
        </w:rPr>
        <w:br w:type="textWrapping" w:clear="all"/>
      </w:r>
      <w:r>
        <w:rPr>
          <w:rFonts w:ascii="Times New Roman" w:hAnsi="Times New Roman"/>
          <w:sz w:val="24"/>
          <w:szCs w:val="24"/>
        </w:rPr>
      </w:r>
    </w:p>
    <w:p>
      <w:pPr>
        <w:pStyle w:val="655"/>
        <w:ind w:firstLine="567"/>
        <w:jc w:val="right"/>
        <w:spacing w:after="0"/>
        <w:rPr>
          <w:rFonts w:ascii="Times New Roman" w:hAnsi="Times New Roman"/>
          <w:sz w:val="28"/>
          <w:szCs w:val="28"/>
        </w:rPr>
      </w:pPr>
      <w:r>
        <w:rPr>
          <w:rFonts w:ascii="Times New Roman" w:hAnsi="Times New Roman"/>
          <w:sz w:val="24"/>
          <w:szCs w:val="24"/>
        </w:rPr>
        <w:br w:type="page" w:clear="all"/>
      </w:r>
      <w:r>
        <w:rPr>
          <w:rFonts w:ascii="Times New Roman" w:hAnsi="Times New Roman"/>
          <w:sz w:val="28"/>
          <w:szCs w:val="28"/>
        </w:rPr>
        <w:t xml:space="preserve">Приложение № 3</w:t>
      </w:r>
      <w:r>
        <w:rPr>
          <w:rFonts w:ascii="Times New Roman" w:hAnsi="Times New Roman"/>
          <w:sz w:val="28"/>
          <w:szCs w:val="28"/>
        </w:rPr>
      </w:r>
    </w:p>
    <w:p>
      <w:pPr>
        <w:pStyle w:val="655"/>
        <w:ind w:firstLine="567"/>
        <w:jc w:val="right"/>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p>
      <w:pPr>
        <w:pStyle w:val="655"/>
        <w:ind w:firstLine="567"/>
        <w:jc w:val="center"/>
        <w:spacing w:after="0"/>
        <w:rPr>
          <w:rFonts w:ascii="Times New Roman" w:hAnsi="Times New Roman"/>
          <w:i/>
          <w:sz w:val="28"/>
          <w:szCs w:val="28"/>
        </w:rPr>
      </w:pPr>
      <w:r>
        <w:rPr>
          <w:rFonts w:ascii="Times New Roman" w:hAnsi="Times New Roman"/>
          <w:b/>
          <w:sz w:val="28"/>
          <w:szCs w:val="28"/>
        </w:rPr>
        <w:t xml:space="preserve">Информация о выявленных фактах недостоверности сведений, представленных кандидатами в депутаты </w:t>
      </w:r>
      <w:r>
        <w:rPr>
          <w:rFonts w:ascii="Times New Roman" w:hAnsi="Times New Roman"/>
          <w:b/>
          <w:sz w:val="28"/>
          <w:szCs w:val="28"/>
        </w:rPr>
        <w:t xml:space="preserve">Совета депутатов городского округа Воротынский</w:t>
      </w:r>
      <w:r>
        <w:rPr>
          <w:rFonts w:ascii="Times New Roman" w:hAnsi="Times New Roman"/>
          <w:b/>
          <w:szCs w:val="28"/>
        </w:rPr>
        <w:t xml:space="preserve"> </w:t>
      </w:r>
      <w:r>
        <w:rPr>
          <w:rFonts w:ascii="Times New Roman" w:hAnsi="Times New Roman"/>
          <w:b/>
          <w:sz w:val="28"/>
          <w:szCs w:val="28"/>
        </w:rPr>
        <w:t xml:space="preserve">Нижегородской области второго созыва</w:t>
      </w:r>
      <w:r>
        <w:rPr>
          <w:rStyle w:val="680"/>
          <w:rFonts w:ascii="Times New Roman" w:hAnsi="Times New Roman"/>
          <w:b/>
          <w:sz w:val="28"/>
          <w:szCs w:val="28"/>
        </w:rPr>
        <w:t xml:space="preserve"> </w:t>
      </w:r>
      <w:r>
        <w:rPr>
          <w:rStyle w:val="680"/>
          <w:rFonts w:ascii="Times New Roman" w:hAnsi="Times New Roman"/>
          <w:b/>
          <w:sz w:val="28"/>
          <w:szCs w:val="28"/>
        </w:rPr>
        <w:footnoteReference w:id="2"/>
      </w:r>
      <w:r>
        <w:rPr>
          <w:rFonts w:ascii="Times New Roman" w:hAnsi="Times New Roman"/>
          <w:i/>
          <w:sz w:val="28"/>
          <w:szCs w:val="28"/>
        </w:rPr>
      </w:r>
      <w:r>
        <w:rPr>
          <w:rFonts w:ascii="Times New Roman" w:hAnsi="Times New Roman"/>
          <w:i/>
          <w:sz w:val="28"/>
          <w:szCs w:val="28"/>
        </w:rPr>
      </w:r>
    </w:p>
    <w:p>
      <w:pPr>
        <w:pStyle w:val="655"/>
        <w:ind w:firstLine="567"/>
        <w:jc w:val="center"/>
        <w:spacing w:after="0"/>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tbl>
      <w:tblPr>
        <w:tblW w:w="0" w:type="auto"/>
        <w:tblInd w:w="0" w:type="dxa"/>
        <w:tblLayout w:type="fixed"/>
        <w:tblCellMar>
          <w:left w:w="62" w:type="dxa"/>
          <w:top w:w="102" w:type="dxa"/>
          <w:right w:w="62" w:type="dxa"/>
          <w:bottom w:w="102" w:type="dxa"/>
        </w:tblCellMar>
        <w:tblLook w:val="04A0" w:firstRow="1" w:lastRow="0" w:firstColumn="1" w:lastColumn="0" w:noHBand="0" w:noVBand="1"/>
      </w:tblPr>
      <w:tblGrid>
        <w:gridCol w:w="488"/>
        <w:gridCol w:w="22"/>
        <w:gridCol w:w="2778"/>
        <w:gridCol w:w="35"/>
        <w:gridCol w:w="2516"/>
        <w:gridCol w:w="35"/>
        <w:gridCol w:w="107"/>
        <w:gridCol w:w="1228"/>
        <w:gridCol w:w="47"/>
        <w:gridCol w:w="2729"/>
      </w:tblGrid>
      <w:tr>
        <w:tblPrEx/>
        <w:trPr/>
        <w:tc>
          <w:tcPr>
            <w:gridSpan w:val="2"/>
            <w:tcBorders>
              <w:top w:val="single" w:color="000000" w:sz="4" w:space="0"/>
              <w:left w:val="single" w:color="000000" w:sz="4" w:space="0"/>
              <w:bottom w:val="single" w:color="000000" w:sz="4" w:space="0"/>
              <w:right w:val="single" w:color="000000" w:sz="4" w:space="0"/>
            </w:tcBorders>
            <w:tcW w:w="510"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 п/п</w:t>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Фамилия, имя, отчество зарегистрированного кандидата, номер одномандатного избирательного округа</w:t>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551"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Представлено зарегистрированным кандидатом</w:t>
            </w:r>
            <w:r>
              <w:rPr>
                <w:rFonts w:ascii="Times New Roman" w:hAnsi="Times New Roman"/>
                <w:sz w:val="20"/>
                <w:szCs w:val="20"/>
              </w:rPr>
            </w:r>
          </w:p>
        </w:tc>
        <w:tc>
          <w:tcPr>
            <w:gridSpan w:val="4"/>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Результаты проверки</w:t>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29"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Организация, представившая сведения</w:t>
            </w:r>
            <w:r>
              <w:rPr>
                <w:rFonts w:ascii="Times New Roman" w:hAnsi="Times New Roman"/>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510"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1</w:t>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2</w:t>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551"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3</w:t>
            </w:r>
            <w:r>
              <w:rPr>
                <w:rFonts w:ascii="Times New Roman" w:hAnsi="Times New Roman"/>
                <w:sz w:val="20"/>
                <w:szCs w:val="20"/>
              </w:rPr>
            </w:r>
          </w:p>
        </w:tc>
        <w:tc>
          <w:tcPr>
            <w:gridSpan w:val="4"/>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4</w:t>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29"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5</w:t>
            </w:r>
            <w:r>
              <w:rPr>
                <w:rFonts w:ascii="Times New Roman" w:hAnsi="Times New Roman"/>
                <w:sz w:val="20"/>
                <w:szCs w:val="20"/>
              </w:rPr>
            </w:r>
          </w:p>
        </w:tc>
      </w:tr>
      <w:tr>
        <w:tblPrEx/>
        <w:trPr/>
        <w:tc>
          <w:tcPr>
            <w:gridSpan w:val="10"/>
            <w:tcBorders>
              <w:top w:val="single" w:color="000000" w:sz="4" w:space="0"/>
              <w:left w:val="single" w:color="000000" w:sz="4" w:space="0"/>
              <w:bottom w:val="single" w:color="000000" w:sz="4" w:space="0"/>
              <w:right w:val="single" w:color="000000" w:sz="4" w:space="0"/>
            </w:tcBorders>
            <w:tcW w:w="9985"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Доходы</w:t>
            </w:r>
            <w:r>
              <w:rPr>
                <w:rFonts w:ascii="Times New Roman" w:hAnsi="Times New Roman"/>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510" w:type="dxa"/>
            <w:vAlign w:val="top"/>
            <w:textDirection w:val="lrTb"/>
            <w:noWrap w:val="false"/>
          </w:tcPr>
          <w:p>
            <w:pPr>
              <w:pStyle w:val="655"/>
              <w:jc w:val="center"/>
              <w:spacing w:after="0"/>
              <w:rPr>
                <w:rFonts w:ascii="Times New Roman" w:hAnsi="Times New Roman"/>
                <w:sz w:val="20"/>
                <w:szCs w:val="20"/>
              </w:rPr>
              <w:outlineLvl w:val="0"/>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551"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4"/>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29"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gridSpan w:val="10"/>
            <w:tcBorders>
              <w:top w:val="single" w:color="000000" w:sz="4" w:space="0"/>
              <w:left w:val="single" w:color="000000" w:sz="4" w:space="0"/>
              <w:bottom w:val="single" w:color="000000" w:sz="4" w:space="0"/>
              <w:right w:val="single" w:color="000000" w:sz="4" w:space="0"/>
            </w:tcBorders>
            <w:tcW w:w="9985"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Недвижимое имущество</w:t>
            </w:r>
            <w:r>
              <w:rPr>
                <w:rFonts w:ascii="Times New Roman" w:hAnsi="Times New Roman"/>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510"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551"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4"/>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29"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gridSpan w:val="10"/>
            <w:tcBorders>
              <w:top w:val="single" w:color="000000" w:sz="4" w:space="0"/>
              <w:left w:val="single" w:color="000000" w:sz="4" w:space="0"/>
              <w:bottom w:val="single" w:color="000000" w:sz="4" w:space="0"/>
              <w:right w:val="single" w:color="000000" w:sz="4" w:space="0"/>
            </w:tcBorders>
            <w:tcW w:w="9985"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Транспортные средства</w:t>
            </w:r>
            <w:r>
              <w:rPr>
                <w:rFonts w:ascii="Times New Roman" w:hAnsi="Times New Roman"/>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510"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551"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4"/>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29"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gridSpan w:val="10"/>
            <w:tcBorders>
              <w:top w:val="single" w:color="000000" w:sz="4" w:space="0"/>
              <w:left w:val="single" w:color="000000" w:sz="4" w:space="0"/>
              <w:bottom w:val="single" w:color="000000" w:sz="4" w:space="0"/>
              <w:right w:val="single" w:color="000000" w:sz="4" w:space="0"/>
            </w:tcBorders>
            <w:tcW w:w="9985"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Сведения о месте жительства</w:t>
            </w:r>
            <w:r>
              <w:rPr>
                <w:rFonts w:ascii="Times New Roman" w:hAnsi="Times New Roman"/>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510"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551"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4"/>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29"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gridSpan w:val="10"/>
            <w:tcBorders>
              <w:top w:val="single" w:color="000000" w:sz="4" w:space="0"/>
              <w:left w:val="single" w:color="000000" w:sz="4" w:space="0"/>
              <w:bottom w:val="single" w:color="000000" w:sz="4" w:space="0"/>
              <w:right w:val="single" w:color="000000" w:sz="4" w:space="0"/>
            </w:tcBorders>
            <w:tcW w:w="9985"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Сведения о профессиональном образовании</w:t>
            </w:r>
            <w:r>
              <w:rPr>
                <w:rFonts w:ascii="Times New Roman" w:hAnsi="Times New Roman"/>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510"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551"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4"/>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29"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gridSpan w:val="10"/>
            <w:tcBorders>
              <w:top w:val="single" w:color="000000" w:sz="4" w:space="0"/>
              <w:left w:val="single" w:color="000000" w:sz="4" w:space="0"/>
              <w:bottom w:val="single" w:color="000000" w:sz="4" w:space="0"/>
              <w:right w:val="single" w:color="000000" w:sz="4" w:space="0"/>
            </w:tcBorders>
            <w:tcW w:w="9985"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t xml:space="preserve">Сведения об основном месте работы (службы)</w:t>
            </w:r>
            <w:r>
              <w:rPr>
                <w:rFonts w:ascii="Times New Roman" w:hAnsi="Times New Roman"/>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510"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551"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4"/>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2729"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gridSpan w:val="10"/>
            <w:tcBorders>
              <w:top w:val="single" w:color="000000" w:sz="4" w:space="0"/>
              <w:left w:val="single" w:color="000000" w:sz="4" w:space="0"/>
              <w:bottom w:val="single" w:color="000000" w:sz="4" w:space="0"/>
              <w:right w:val="single" w:color="000000" w:sz="4" w:space="0"/>
            </w:tcBorders>
            <w:tcW w:w="9985" w:type="dxa"/>
            <w:vAlign w:val="top"/>
            <w:textDirection w:val="lrTb"/>
            <w:noWrap w:val="false"/>
          </w:tcPr>
          <w:p>
            <w:pPr>
              <w:pStyle w:val="655"/>
              <w:jc w:val="center"/>
              <w:spacing w:after="0"/>
              <w:rPr>
                <w:rFonts w:ascii="Times New Roman" w:hAnsi="Times New Roman"/>
                <w:sz w:val="20"/>
                <w:szCs w:val="20"/>
              </w:rPr>
              <w:outlineLvl w:val="1"/>
            </w:pPr>
            <w:r>
              <w:rPr>
                <w:rFonts w:ascii="Times New Roman" w:hAnsi="Times New Roman"/>
                <w:sz w:val="20"/>
                <w:szCs w:val="20"/>
              </w:rPr>
              <w:t xml:space="preserve">Денежные средства и драгоценные металлы, находящиеся на счетах и во вкладах в банках</w:t>
            </w:r>
            <w:r>
              <w:rPr>
                <w:rFonts w:ascii="Times New Roman" w:hAnsi="Times New Roman"/>
                <w:sz w:val="20"/>
                <w:szCs w:val="20"/>
              </w:rPr>
            </w:r>
          </w:p>
        </w:tc>
      </w:tr>
      <w:tr>
        <w:tblPrEx/>
        <w:trPr/>
        <w:tc>
          <w:tcPr>
            <w:tcBorders>
              <w:top w:val="single" w:color="000000" w:sz="4" w:space="0"/>
              <w:left w:val="single" w:color="000000" w:sz="4" w:space="0"/>
              <w:bottom w:val="single" w:color="000000" w:sz="4" w:space="0"/>
              <w:right w:val="single" w:color="000000" w:sz="4" w:space="0"/>
            </w:tcBorders>
            <w:tcW w:w="48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551"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1335"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776"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tcBorders>
              <w:top w:val="single" w:color="000000" w:sz="4" w:space="0"/>
              <w:left w:val="single" w:color="000000" w:sz="4" w:space="0"/>
              <w:bottom w:val="single" w:color="000000" w:sz="4" w:space="0"/>
              <w:right w:val="single" w:color="000000" w:sz="4" w:space="0"/>
            </w:tcBorders>
            <w:tcW w:w="48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551"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1335"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776"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gridSpan w:val="10"/>
            <w:tcBorders>
              <w:top w:val="single" w:color="000000" w:sz="4" w:space="0"/>
              <w:left w:val="single" w:color="000000" w:sz="4" w:space="0"/>
              <w:bottom w:val="single" w:color="000000" w:sz="4" w:space="0"/>
              <w:right w:val="single" w:color="000000" w:sz="4" w:space="0"/>
            </w:tcBorders>
            <w:tcW w:w="9985" w:type="dxa"/>
            <w:vAlign w:val="top"/>
            <w:textDirection w:val="lrTb"/>
            <w:noWrap w:val="false"/>
          </w:tcPr>
          <w:p>
            <w:pPr>
              <w:pStyle w:val="655"/>
              <w:jc w:val="center"/>
              <w:spacing w:after="0"/>
              <w:rPr>
                <w:rFonts w:ascii="Times New Roman" w:hAnsi="Times New Roman"/>
                <w:sz w:val="20"/>
                <w:szCs w:val="20"/>
              </w:rPr>
              <w:outlineLvl w:val="1"/>
            </w:pPr>
            <w:r>
              <w:rPr>
                <w:rFonts w:ascii="Times New Roman" w:hAnsi="Times New Roman"/>
                <w:sz w:val="20"/>
                <w:szCs w:val="20"/>
              </w:rPr>
              <w:t xml:space="preserve">Акции, иные ценные бумаги и иное участие в коммерческих организациях</w:t>
            </w:r>
            <w:r>
              <w:rPr>
                <w:rFonts w:ascii="Times New Roman" w:hAnsi="Times New Roman"/>
                <w:sz w:val="20"/>
                <w:szCs w:val="20"/>
              </w:rPr>
            </w:r>
          </w:p>
        </w:tc>
      </w:tr>
      <w:tr>
        <w:tblPrEx/>
        <w:trPr/>
        <w:tc>
          <w:tcPr>
            <w:tcBorders>
              <w:top w:val="single" w:color="000000" w:sz="4" w:space="0"/>
              <w:left w:val="single" w:color="000000" w:sz="4" w:space="0"/>
              <w:bottom w:val="single" w:color="000000" w:sz="4" w:space="0"/>
              <w:right w:val="single" w:color="000000" w:sz="4" w:space="0"/>
            </w:tcBorders>
            <w:tcW w:w="48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65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122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776"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tcBorders>
              <w:top w:val="single" w:color="000000" w:sz="4" w:space="0"/>
              <w:left w:val="single" w:color="000000" w:sz="4" w:space="0"/>
              <w:bottom w:val="single" w:color="000000" w:sz="4" w:space="0"/>
              <w:right w:val="single" w:color="000000" w:sz="4" w:space="0"/>
            </w:tcBorders>
            <w:tcW w:w="48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65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122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776"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gridSpan w:val="10"/>
            <w:tcBorders>
              <w:top w:val="single" w:color="000000" w:sz="4" w:space="0"/>
              <w:left w:val="single" w:color="000000" w:sz="4" w:space="0"/>
              <w:bottom w:val="single" w:color="000000" w:sz="4" w:space="0"/>
              <w:right w:val="single" w:color="000000" w:sz="4" w:space="0"/>
            </w:tcBorders>
            <w:tcW w:w="9985" w:type="dxa"/>
            <w:vAlign w:val="top"/>
            <w:textDirection w:val="lrTb"/>
            <w:noWrap w:val="false"/>
          </w:tcPr>
          <w:p>
            <w:pPr>
              <w:pStyle w:val="655"/>
              <w:jc w:val="center"/>
              <w:spacing w:after="0"/>
              <w:rPr>
                <w:rFonts w:ascii="Times New Roman" w:hAnsi="Times New Roman"/>
                <w:sz w:val="20"/>
                <w:szCs w:val="20"/>
              </w:rPr>
              <w:outlineLvl w:val="1"/>
            </w:pPr>
            <w:r>
              <w:rPr>
                <w:rFonts w:ascii="Times New Roman" w:hAnsi="Times New Roman"/>
                <w:sz w:val="20"/>
                <w:szCs w:val="20"/>
              </w:rPr>
              <w:t xml:space="preserve">Сведения о судимости</w:t>
            </w:r>
            <w:r>
              <w:rPr>
                <w:rFonts w:ascii="Times New Roman" w:hAnsi="Times New Roman"/>
                <w:sz w:val="20"/>
                <w:szCs w:val="20"/>
              </w:rPr>
            </w:r>
          </w:p>
        </w:tc>
      </w:tr>
      <w:tr>
        <w:tblPrEx/>
        <w:trPr/>
        <w:tc>
          <w:tcPr>
            <w:tcBorders>
              <w:top w:val="single" w:color="000000" w:sz="4" w:space="0"/>
              <w:left w:val="single" w:color="000000" w:sz="4" w:space="0"/>
              <w:bottom w:val="single" w:color="000000" w:sz="4" w:space="0"/>
              <w:right w:val="single" w:color="000000" w:sz="4" w:space="0"/>
            </w:tcBorders>
            <w:tcW w:w="48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65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122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776"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tcBorders>
              <w:top w:val="single" w:color="000000" w:sz="4" w:space="0"/>
              <w:left w:val="single" w:color="000000" w:sz="4" w:space="0"/>
              <w:bottom w:val="single" w:color="000000" w:sz="4" w:space="0"/>
              <w:right w:val="single" w:color="000000" w:sz="4" w:space="0"/>
            </w:tcBorders>
            <w:tcW w:w="48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65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1228"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776" w:type="dxa"/>
            <w:vAlign w:val="top"/>
            <w:textDirection w:val="lrTb"/>
            <w:noWrap w:val="false"/>
          </w:tcPr>
          <w:p>
            <w:pPr>
              <w:pStyle w:val="655"/>
              <w:jc w:val="center"/>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gridSpan w:val="10"/>
            <w:tcBorders>
              <w:top w:val="single" w:color="000000" w:sz="4" w:space="0"/>
              <w:left w:val="single" w:color="000000" w:sz="4" w:space="0"/>
              <w:bottom w:val="single" w:color="000000" w:sz="4" w:space="0"/>
              <w:right w:val="single" w:color="000000" w:sz="4" w:space="0"/>
            </w:tcBorders>
            <w:tcW w:w="9985" w:type="dxa"/>
            <w:vAlign w:val="top"/>
            <w:textDirection w:val="lrTb"/>
            <w:noWrap w:val="false"/>
          </w:tcPr>
          <w:p>
            <w:pPr>
              <w:pStyle w:val="655"/>
              <w:jc w:val="center"/>
              <w:spacing w:after="0"/>
              <w:rPr>
                <w:rFonts w:ascii="Times New Roman" w:hAnsi="Times New Roman"/>
                <w:sz w:val="20"/>
                <w:szCs w:val="20"/>
              </w:rPr>
              <w:outlineLvl w:val="1"/>
            </w:pPr>
            <w:r>
              <w:rPr>
                <w:rFonts w:ascii="Times New Roman" w:hAnsi="Times New Roman"/>
                <w:sz w:val="20"/>
                <w:szCs w:val="20"/>
              </w:rPr>
              <w:t xml:space="preserve">Сведения о наличии статуса кандидата, являющегося </w:t>
            </w:r>
            <w:r>
              <w:rPr>
                <w:rFonts w:ascii="Times New Roman" w:hAnsi="Times New Roman"/>
                <w:sz w:val="20"/>
                <w:szCs w:val="20"/>
              </w:rPr>
              <w:t xml:space="preserve">иностранным агентом, либо кандидатом, аффилированным с иностранным агентом</w:t>
            </w:r>
            <w:r>
              <w:rPr>
                <w:rFonts w:ascii="Times New Roman" w:hAnsi="Times New Roman"/>
                <w:sz w:val="20"/>
                <w:szCs w:val="20"/>
              </w:rPr>
            </w:r>
            <w:r>
              <w:rPr>
                <w:rFonts w:ascii="Times New Roman" w:hAnsi="Times New Roman"/>
                <w:sz w:val="20"/>
                <w:szCs w:val="20"/>
              </w:rPr>
            </w:r>
          </w:p>
        </w:tc>
      </w:tr>
      <w:tr>
        <w:tblPrEx/>
        <w:trPr/>
        <w:tc>
          <w:tcPr>
            <w:tcBorders>
              <w:top w:val="single" w:color="000000" w:sz="4" w:space="0"/>
              <w:left w:val="single" w:color="000000" w:sz="4" w:space="0"/>
              <w:bottom w:val="single" w:color="000000" w:sz="4" w:space="0"/>
              <w:right w:val="single" w:color="000000" w:sz="4" w:space="0"/>
            </w:tcBorders>
            <w:tcW w:w="48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65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122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776"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tcBorders>
              <w:top w:val="single" w:color="000000" w:sz="4" w:space="0"/>
              <w:left w:val="single" w:color="000000" w:sz="4" w:space="0"/>
              <w:bottom w:val="single" w:color="000000" w:sz="4" w:space="0"/>
              <w:right w:val="single" w:color="000000" w:sz="4" w:space="0"/>
            </w:tcBorders>
            <w:tcW w:w="48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3"/>
            <w:tcBorders>
              <w:top w:val="single" w:color="000000" w:sz="4" w:space="0"/>
              <w:left w:val="single" w:color="000000" w:sz="4" w:space="0"/>
              <w:bottom w:val="single" w:color="000000" w:sz="4" w:space="0"/>
              <w:right w:val="single" w:color="000000" w:sz="4" w:space="0"/>
            </w:tcBorders>
            <w:tcW w:w="265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tcBorders>
              <w:top w:val="single" w:color="000000" w:sz="4" w:space="0"/>
              <w:left w:val="single" w:color="000000" w:sz="4" w:space="0"/>
              <w:bottom w:val="single" w:color="000000" w:sz="4" w:space="0"/>
              <w:right w:val="single" w:color="000000" w:sz="4" w:space="0"/>
            </w:tcBorders>
            <w:tcW w:w="1228"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c>
          <w:tcPr>
            <w:gridSpan w:val="2"/>
            <w:tcBorders>
              <w:top w:val="single" w:color="000000" w:sz="4" w:space="0"/>
              <w:left w:val="single" w:color="000000" w:sz="4" w:space="0"/>
              <w:bottom w:val="single" w:color="000000" w:sz="4" w:space="0"/>
              <w:right w:val="single" w:color="000000" w:sz="4" w:space="0"/>
            </w:tcBorders>
            <w:tcW w:w="2776" w:type="dxa"/>
            <w:vAlign w:val="top"/>
            <w:textDirection w:val="lrTb"/>
            <w:noWrap w:val="false"/>
          </w:tcPr>
          <w:p>
            <w:pPr>
              <w:pStyle w:val="655"/>
              <w:spacing w:after="0"/>
              <w:rPr>
                <w:rFonts w:ascii="Times New Roman" w:hAnsi="Times New Roman"/>
                <w:sz w:val="20"/>
                <w:szCs w:val="20"/>
              </w:rPr>
            </w:pPr>
            <w:r>
              <w:rPr>
                <w:rFonts w:ascii="Times New Roman" w:hAnsi="Times New Roman"/>
                <w:sz w:val="20"/>
                <w:szCs w:val="20"/>
              </w:rPr>
            </w:r>
            <w:r>
              <w:rPr>
                <w:rFonts w:ascii="Times New Roman" w:hAnsi="Times New Roman"/>
                <w:sz w:val="20"/>
                <w:szCs w:val="20"/>
              </w:rPr>
            </w:r>
          </w:p>
        </w:tc>
      </w:tr>
      <w:tr>
        <w:tblPrEx/>
        <w:trPr/>
        <w:tc>
          <w:tcPr>
            <w:gridSpan w:val="10"/>
            <w:tcBorders>
              <w:top w:val="single" w:color="000000" w:sz="4" w:space="0"/>
              <w:left w:val="single" w:color="000000" w:sz="4" w:space="0"/>
              <w:bottom w:val="single" w:color="000000" w:sz="4" w:space="0"/>
              <w:right w:val="single" w:color="000000" w:sz="4" w:space="0"/>
            </w:tcBorders>
            <w:tcW w:w="9985" w:type="dxa"/>
            <w:vAlign w:val="top"/>
            <w:textDirection w:val="lrTb"/>
            <w:noWrap w:val="false"/>
          </w:tcPr>
          <w:p>
            <w:pPr>
              <w:pStyle w:val="655"/>
              <w:jc w:val="center"/>
              <w:spacing w:after="0"/>
              <w:rPr>
                <w:rFonts w:ascii="Times New Roman" w:hAnsi="Times New Roman"/>
                <w:sz w:val="20"/>
                <w:szCs w:val="20"/>
              </w:rPr>
              <w:outlineLvl w:val="1"/>
            </w:pPr>
            <w:r>
              <w:rPr>
                <w:rFonts w:ascii="Times New Roman" w:hAnsi="Times New Roman"/>
                <w:sz w:val="20"/>
                <w:szCs w:val="20"/>
              </w:rPr>
              <w:t xml:space="preserve">Сведения о прежних фамилии (или имени, или отчества)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w:t>
            </w:r>
            <w:r>
              <w:rPr>
                <w:rFonts w:ascii="Times New Roman" w:hAnsi="Times New Roman"/>
                <w:sz w:val="20"/>
                <w:szCs w:val="20"/>
              </w:rPr>
            </w:r>
          </w:p>
        </w:tc>
      </w:tr>
      <w:tr>
        <w:tblPrEx/>
        <w:trPr/>
        <w:tc>
          <w:tcPr>
            <w:tcBorders>
              <w:top w:val="single" w:color="000000" w:sz="4" w:space="0"/>
              <w:left w:val="single" w:color="000000" w:sz="4" w:space="0"/>
              <w:bottom w:val="single" w:color="000000" w:sz="4" w:space="0"/>
              <w:right w:val="single" w:color="000000" w:sz="4" w:space="0"/>
            </w:tcBorders>
            <w:tcW w:w="488"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gridSpan w:val="3"/>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gridSpan w:val="3"/>
            <w:tcBorders>
              <w:top w:val="single" w:color="000000" w:sz="4" w:space="0"/>
              <w:left w:val="single" w:color="000000" w:sz="4" w:space="0"/>
              <w:bottom w:val="single" w:color="000000" w:sz="4" w:space="0"/>
              <w:right w:val="single" w:color="000000" w:sz="4" w:space="0"/>
            </w:tcBorders>
            <w:tcW w:w="2658"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1228"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gridSpan w:val="2"/>
            <w:tcBorders>
              <w:top w:val="single" w:color="000000" w:sz="4" w:space="0"/>
              <w:left w:val="single" w:color="000000" w:sz="4" w:space="0"/>
              <w:bottom w:val="single" w:color="000000" w:sz="4" w:space="0"/>
              <w:right w:val="single" w:color="000000" w:sz="4" w:space="0"/>
            </w:tcBorders>
            <w:tcW w:w="2776"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r>
      <w:tr>
        <w:tblPrEx/>
        <w:trPr/>
        <w:tc>
          <w:tcPr>
            <w:tcBorders>
              <w:top w:val="single" w:color="000000" w:sz="4" w:space="0"/>
              <w:left w:val="single" w:color="000000" w:sz="4" w:space="0"/>
              <w:bottom w:val="single" w:color="000000" w:sz="4" w:space="0"/>
              <w:right w:val="single" w:color="000000" w:sz="4" w:space="0"/>
            </w:tcBorders>
            <w:tcW w:w="488"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gridSpan w:val="3"/>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gridSpan w:val="3"/>
            <w:tcBorders>
              <w:top w:val="single" w:color="000000" w:sz="4" w:space="0"/>
              <w:left w:val="single" w:color="000000" w:sz="4" w:space="0"/>
              <w:bottom w:val="single" w:color="000000" w:sz="4" w:space="0"/>
              <w:right w:val="single" w:color="000000" w:sz="4" w:space="0"/>
            </w:tcBorders>
            <w:tcW w:w="2658"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1228"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gridSpan w:val="2"/>
            <w:tcBorders>
              <w:top w:val="single" w:color="000000" w:sz="4" w:space="0"/>
              <w:left w:val="single" w:color="000000" w:sz="4" w:space="0"/>
              <w:bottom w:val="single" w:color="000000" w:sz="4" w:space="0"/>
              <w:right w:val="single" w:color="000000" w:sz="4" w:space="0"/>
            </w:tcBorders>
            <w:tcW w:w="2776"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r>
      <w:tr>
        <w:tblPrEx/>
        <w:trPr/>
        <w:tc>
          <w:tcPr>
            <w:tcBorders>
              <w:top w:val="single" w:color="000000" w:sz="4" w:space="0"/>
              <w:left w:val="single" w:color="000000" w:sz="4" w:space="0"/>
              <w:bottom w:val="single" w:color="000000" w:sz="4" w:space="0"/>
              <w:right w:val="single" w:color="000000" w:sz="4" w:space="0"/>
            </w:tcBorders>
            <w:tcW w:w="488"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gridSpan w:val="3"/>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gridSpan w:val="3"/>
            <w:tcBorders>
              <w:top w:val="single" w:color="000000" w:sz="4" w:space="0"/>
              <w:left w:val="single" w:color="000000" w:sz="4" w:space="0"/>
              <w:bottom w:val="single" w:color="000000" w:sz="4" w:space="0"/>
              <w:right w:val="single" w:color="000000" w:sz="4" w:space="0"/>
            </w:tcBorders>
            <w:tcW w:w="2658"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tcBorders>
              <w:top w:val="single" w:color="000000" w:sz="4" w:space="0"/>
              <w:left w:val="single" w:color="000000" w:sz="4" w:space="0"/>
              <w:bottom w:val="single" w:color="000000" w:sz="4" w:space="0"/>
              <w:right w:val="single" w:color="000000" w:sz="4" w:space="0"/>
            </w:tcBorders>
            <w:tcW w:w="1228"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c>
          <w:tcPr>
            <w:gridSpan w:val="2"/>
            <w:tcBorders>
              <w:top w:val="single" w:color="000000" w:sz="4" w:space="0"/>
              <w:left w:val="single" w:color="000000" w:sz="4" w:space="0"/>
              <w:bottom w:val="single" w:color="000000" w:sz="4" w:space="0"/>
              <w:right w:val="single" w:color="000000" w:sz="4" w:space="0"/>
            </w:tcBorders>
            <w:tcW w:w="2776" w:type="dxa"/>
            <w:vAlign w:val="top"/>
            <w:textDirection w:val="lrTb"/>
            <w:noWrap w:val="false"/>
          </w:tcPr>
          <w:p>
            <w:pPr>
              <w:pStyle w:val="655"/>
              <w:spacing w:after="0"/>
              <w:rPr>
                <w:rFonts w:ascii="Times New Roman" w:hAnsi="Times New Roman"/>
                <w:sz w:val="28"/>
                <w:szCs w:val="28"/>
              </w:rPr>
            </w:pPr>
            <w:r>
              <w:rPr>
                <w:rFonts w:ascii="Times New Roman" w:hAnsi="Times New Roman"/>
                <w:sz w:val="28"/>
                <w:szCs w:val="28"/>
              </w:rPr>
            </w:r>
            <w:r>
              <w:rPr>
                <w:rFonts w:ascii="Times New Roman" w:hAnsi="Times New Roman"/>
                <w:sz w:val="28"/>
                <w:szCs w:val="28"/>
              </w:rPr>
            </w:r>
          </w:p>
        </w:tc>
      </w:tr>
    </w:tbl>
    <w:p>
      <w:pPr>
        <w:pStyle w:val="655"/>
        <w:ind w:firstLine="567"/>
        <w:jc w:val="center"/>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p>
    <w:p>
      <w:pPr>
        <w:pStyle w:val="655"/>
        <w:spacing w:after="0"/>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p>
    <w:sectPr>
      <w:footnotePr/>
      <w:endnotePr/>
      <w:type w:val="nextPage"/>
      <w:pgSz w:w="11906" w:h="16838" w:orient="portrait"/>
      <w:pgMar w:top="1134" w:right="566" w:bottom="709" w:left="993"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Courier New">
    <w:panose1 w:val="02070409020205020404"/>
  </w:font>
  <w:font w:name="Wingdings">
    <w:panose1 w:val="05010000000000000000"/>
  </w:font>
  <w:font w:name="Liberation Sans">
    <w:panose1 w:val="020B0604020202020204"/>
  </w:font>
  <w:font w:name="Times New Roman">
    <w:panose1 w:val="02020603050405020304"/>
  </w:font>
  <w:font w:name="Batang">
    <w:panose1 w:val="02000506000000020000"/>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 w:id="2">
    <w:p>
      <w:pPr>
        <w:pStyle w:val="675"/>
      </w:pPr>
      <w:r>
        <w:rPr>
          <w:rStyle w:val="680"/>
        </w:rPr>
        <w:footnoteRef/>
      </w:r>
      <w:r>
        <w:t xml:space="preserve"> При отсутствии сведений о фактах недостоверности соответствующие пустые графы не приводятся.</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259" w:hanging="360"/>
      </w:pPr>
      <w:rPr>
        <w:rFonts w:ascii="Symbol" w:hAnsi="Symbol"/>
      </w:rPr>
    </w:lvl>
    <w:lvl w:ilvl="1">
      <w:start w:val="1"/>
      <w:numFmt w:val="bullet"/>
      <w:isLgl w:val="false"/>
      <w:suff w:val="tab"/>
      <w:lvlText w:val="o"/>
      <w:lvlJc w:val="left"/>
      <w:pPr>
        <w:ind w:left="1979" w:hanging="360"/>
      </w:pPr>
      <w:rPr>
        <w:rFonts w:ascii="Courier New" w:hAnsi="Courier New" w:cs="Courier New"/>
      </w:rPr>
    </w:lvl>
    <w:lvl w:ilvl="2">
      <w:start w:val="1"/>
      <w:numFmt w:val="bullet"/>
      <w:isLgl w:val="false"/>
      <w:suff w:val="tab"/>
      <w:lvlText w:val=""/>
      <w:lvlJc w:val="left"/>
      <w:pPr>
        <w:ind w:left="2699" w:hanging="360"/>
      </w:pPr>
      <w:rPr>
        <w:rFonts w:ascii="Wingdings" w:hAnsi="Wingdings"/>
      </w:rPr>
    </w:lvl>
    <w:lvl w:ilvl="3">
      <w:start w:val="1"/>
      <w:numFmt w:val="bullet"/>
      <w:isLgl w:val="false"/>
      <w:suff w:val="tab"/>
      <w:lvlText w:val=""/>
      <w:lvlJc w:val="left"/>
      <w:pPr>
        <w:ind w:left="3419" w:hanging="360"/>
      </w:pPr>
      <w:rPr>
        <w:rFonts w:ascii="Symbol" w:hAnsi="Symbol"/>
      </w:rPr>
    </w:lvl>
    <w:lvl w:ilvl="4">
      <w:start w:val="1"/>
      <w:numFmt w:val="bullet"/>
      <w:isLgl w:val="false"/>
      <w:suff w:val="tab"/>
      <w:lvlText w:val="o"/>
      <w:lvlJc w:val="left"/>
      <w:pPr>
        <w:ind w:left="4139" w:hanging="360"/>
      </w:pPr>
      <w:rPr>
        <w:rFonts w:ascii="Courier New" w:hAnsi="Courier New" w:cs="Courier New"/>
      </w:rPr>
    </w:lvl>
    <w:lvl w:ilvl="5">
      <w:start w:val="1"/>
      <w:numFmt w:val="bullet"/>
      <w:isLgl w:val="false"/>
      <w:suff w:val="tab"/>
      <w:lvlText w:val=""/>
      <w:lvlJc w:val="left"/>
      <w:pPr>
        <w:ind w:left="4859" w:hanging="360"/>
      </w:pPr>
      <w:rPr>
        <w:rFonts w:ascii="Wingdings" w:hAnsi="Wingdings"/>
      </w:rPr>
    </w:lvl>
    <w:lvl w:ilvl="6">
      <w:start w:val="1"/>
      <w:numFmt w:val="bullet"/>
      <w:isLgl w:val="false"/>
      <w:suff w:val="tab"/>
      <w:lvlText w:val=""/>
      <w:lvlJc w:val="left"/>
      <w:pPr>
        <w:ind w:left="5579" w:hanging="360"/>
      </w:pPr>
      <w:rPr>
        <w:rFonts w:ascii="Symbol" w:hAnsi="Symbol"/>
      </w:rPr>
    </w:lvl>
    <w:lvl w:ilvl="7">
      <w:start w:val="1"/>
      <w:numFmt w:val="bullet"/>
      <w:isLgl w:val="false"/>
      <w:suff w:val="tab"/>
      <w:lvlText w:val="o"/>
      <w:lvlJc w:val="left"/>
      <w:pPr>
        <w:ind w:left="6299" w:hanging="360"/>
      </w:pPr>
      <w:rPr>
        <w:rFonts w:ascii="Courier New" w:hAnsi="Courier New" w:cs="Courier New"/>
      </w:rPr>
    </w:lvl>
    <w:lvl w:ilvl="8">
      <w:start w:val="1"/>
      <w:numFmt w:val="bullet"/>
      <w:isLgl w:val="false"/>
      <w:suff w:val="tab"/>
      <w:lvlText w:val=""/>
      <w:lvlJc w:val="left"/>
      <w:pPr>
        <w:ind w:left="7019" w:hanging="360"/>
      </w:pPr>
      <w:rPr>
        <w:rFonts w:ascii="Wingdings" w:hAnsi="Wingdings"/>
      </w:rPr>
    </w:lvl>
  </w:abstractNum>
  <w:abstractNum w:abstractNumId="1">
    <w:multiLevelType w:val="hybridMultilevel"/>
    <w:lvl w:ilvl="0">
      <w:start w:val="5"/>
      <w:numFmt w:val="decimal"/>
      <w:isLgl w:val="false"/>
      <w:suff w:val="tab"/>
      <w:lvlText w:val="%1."/>
      <w:lvlJc w:val="left"/>
      <w:pPr>
        <w:ind w:left="450" w:hanging="450"/>
      </w:pPr>
    </w:lvl>
    <w:lvl w:ilvl="1">
      <w:start w:val="3"/>
      <w:numFmt w:val="decimal"/>
      <w:isLgl w:val="false"/>
      <w:suff w:val="tab"/>
      <w:lvlText w:val="%1.%2."/>
      <w:lvlJc w:val="left"/>
      <w:pPr>
        <w:ind w:left="2508" w:hanging="720"/>
      </w:pPr>
    </w:lvl>
    <w:lvl w:ilvl="2">
      <w:start w:val="1"/>
      <w:numFmt w:val="decimal"/>
      <w:isLgl w:val="false"/>
      <w:suff w:val="tab"/>
      <w:lvlText w:val="%1.%2.%3."/>
      <w:lvlJc w:val="left"/>
      <w:pPr>
        <w:ind w:left="4296" w:hanging="720"/>
      </w:pPr>
    </w:lvl>
    <w:lvl w:ilvl="3">
      <w:start w:val="1"/>
      <w:numFmt w:val="decimal"/>
      <w:isLgl w:val="false"/>
      <w:suff w:val="tab"/>
      <w:lvlText w:val="%1.%2.%3.%4."/>
      <w:lvlJc w:val="left"/>
      <w:pPr>
        <w:ind w:left="6444" w:hanging="1080"/>
      </w:pPr>
    </w:lvl>
    <w:lvl w:ilvl="4">
      <w:start w:val="1"/>
      <w:numFmt w:val="decimal"/>
      <w:isLgl w:val="false"/>
      <w:suff w:val="tab"/>
      <w:lvlText w:val="%1.%2.%3.%4.%5."/>
      <w:lvlJc w:val="left"/>
      <w:pPr>
        <w:ind w:left="8232" w:hanging="1080"/>
      </w:pPr>
    </w:lvl>
    <w:lvl w:ilvl="5">
      <w:start w:val="1"/>
      <w:numFmt w:val="decimal"/>
      <w:isLgl w:val="false"/>
      <w:suff w:val="tab"/>
      <w:lvlText w:val="%1.%2.%3.%4.%5.%6."/>
      <w:lvlJc w:val="left"/>
      <w:pPr>
        <w:ind w:left="10380" w:hanging="1440"/>
      </w:pPr>
    </w:lvl>
    <w:lvl w:ilvl="6">
      <w:start w:val="1"/>
      <w:numFmt w:val="decimal"/>
      <w:isLgl w:val="false"/>
      <w:suff w:val="tab"/>
      <w:lvlText w:val="%1.%2.%3.%4.%5.%6.%7."/>
      <w:lvlJc w:val="left"/>
      <w:pPr>
        <w:ind w:left="12528" w:hanging="1800"/>
      </w:pPr>
    </w:lvl>
    <w:lvl w:ilvl="7">
      <w:start w:val="1"/>
      <w:numFmt w:val="decimal"/>
      <w:isLgl w:val="false"/>
      <w:suff w:val="tab"/>
      <w:lvlText w:val="%1.%2.%3.%4.%5.%6.%7.%8."/>
      <w:lvlJc w:val="left"/>
      <w:pPr>
        <w:ind w:left="14316" w:hanging="1800"/>
      </w:pPr>
    </w:lvl>
    <w:lvl w:ilvl="8">
      <w:start w:val="1"/>
      <w:numFmt w:val="decimal"/>
      <w:isLgl w:val="false"/>
      <w:suff w:val="tab"/>
      <w:lvlText w:val="%1.%2.%3.%4.%5.%6.%7.%8.%9."/>
      <w:lvlJc w:val="left"/>
      <w:pPr>
        <w:ind w:left="16464" w:hanging="2160"/>
      </w:pPr>
    </w:lvl>
  </w:abstractNum>
  <w:abstractNum w:abstractNumId="2">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1144" w:hanging="360"/>
      </w:pPr>
    </w:lvl>
    <w:lvl w:ilvl="1">
      <w:start w:val="1"/>
      <w:numFmt w:val="lowerLetter"/>
      <w:isLgl w:val="false"/>
      <w:suff w:val="tab"/>
      <w:lvlText w:val="%2."/>
      <w:lvlJc w:val="left"/>
      <w:pPr>
        <w:ind w:left="1864" w:hanging="360"/>
      </w:pPr>
    </w:lvl>
    <w:lvl w:ilvl="2">
      <w:start w:val="1"/>
      <w:numFmt w:val="lowerRoman"/>
      <w:isLgl w:val="false"/>
      <w:suff w:val="tab"/>
      <w:lvlText w:val="%3."/>
      <w:lvlJc w:val="right"/>
      <w:pPr>
        <w:ind w:left="2584" w:hanging="180"/>
      </w:pPr>
    </w:lvl>
    <w:lvl w:ilvl="3">
      <w:start w:val="1"/>
      <w:numFmt w:val="decimal"/>
      <w:isLgl w:val="false"/>
      <w:suff w:val="tab"/>
      <w:lvlText w:val="%4."/>
      <w:lvlJc w:val="left"/>
      <w:pPr>
        <w:ind w:left="3304" w:hanging="360"/>
      </w:pPr>
    </w:lvl>
    <w:lvl w:ilvl="4">
      <w:start w:val="1"/>
      <w:numFmt w:val="lowerLetter"/>
      <w:isLgl w:val="false"/>
      <w:suff w:val="tab"/>
      <w:lvlText w:val="%5."/>
      <w:lvlJc w:val="left"/>
      <w:pPr>
        <w:ind w:left="4024" w:hanging="360"/>
      </w:pPr>
    </w:lvl>
    <w:lvl w:ilvl="5">
      <w:start w:val="1"/>
      <w:numFmt w:val="lowerRoman"/>
      <w:isLgl w:val="false"/>
      <w:suff w:val="tab"/>
      <w:lvlText w:val="%6."/>
      <w:lvlJc w:val="right"/>
      <w:pPr>
        <w:ind w:left="4744" w:hanging="180"/>
      </w:pPr>
    </w:lvl>
    <w:lvl w:ilvl="6">
      <w:start w:val="1"/>
      <w:numFmt w:val="decimal"/>
      <w:isLgl w:val="false"/>
      <w:suff w:val="tab"/>
      <w:lvlText w:val="%7."/>
      <w:lvlJc w:val="left"/>
      <w:pPr>
        <w:ind w:left="5464" w:hanging="360"/>
      </w:pPr>
    </w:lvl>
    <w:lvl w:ilvl="7">
      <w:start w:val="1"/>
      <w:numFmt w:val="lowerLetter"/>
      <w:isLgl w:val="false"/>
      <w:suff w:val="tab"/>
      <w:lvlText w:val="%8."/>
      <w:lvlJc w:val="left"/>
      <w:pPr>
        <w:ind w:left="6184" w:hanging="360"/>
      </w:pPr>
    </w:lvl>
    <w:lvl w:ilvl="8">
      <w:start w:val="1"/>
      <w:numFmt w:val="lowerRoman"/>
      <w:isLgl w:val="false"/>
      <w:suff w:val="tab"/>
      <w:lvlText w:val="%9."/>
      <w:lvlJc w:val="right"/>
      <w:pPr>
        <w:ind w:left="6904" w:hanging="180"/>
      </w:pPr>
    </w:lvl>
  </w:abstractNum>
  <w:abstractNum w:abstractNumId="4">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5">
    <w:multiLevelType w:val="hybridMultilevel"/>
    <w:lvl w:ilvl="0">
      <w:start w:val="1"/>
      <w:numFmt w:val="decimal"/>
      <w:isLgl w:val="false"/>
      <w:suff w:val="tab"/>
      <w:lvlText w:val="%1."/>
      <w:lvlJc w:val="left"/>
      <w:pPr>
        <w:ind w:left="2015" w:hanging="1305"/>
      </w:pPr>
    </w:lvl>
    <w:lvl w:ilvl="1">
      <w:start w:val="1"/>
      <w:numFmt w:val="lowerLetter"/>
      <w:isLgl w:val="false"/>
      <w:suff w:val="tab"/>
      <w:lvlText w:val="%2."/>
      <w:lvlJc w:val="left"/>
      <w:pPr>
        <w:ind w:left="1790" w:hanging="360"/>
      </w:pPr>
    </w:lvl>
    <w:lvl w:ilvl="2">
      <w:start w:val="1"/>
      <w:numFmt w:val="lowerRoman"/>
      <w:isLgl w:val="false"/>
      <w:suff w:val="tab"/>
      <w:lvlText w:val="%3."/>
      <w:lvlJc w:val="right"/>
      <w:pPr>
        <w:ind w:left="2510" w:hanging="180"/>
      </w:pPr>
    </w:lvl>
    <w:lvl w:ilvl="3">
      <w:start w:val="1"/>
      <w:numFmt w:val="decimal"/>
      <w:isLgl w:val="false"/>
      <w:suff w:val="tab"/>
      <w:lvlText w:val="%4."/>
      <w:lvlJc w:val="left"/>
      <w:pPr>
        <w:ind w:left="3230" w:hanging="360"/>
      </w:pPr>
    </w:lvl>
    <w:lvl w:ilvl="4">
      <w:start w:val="1"/>
      <w:numFmt w:val="lowerLetter"/>
      <w:isLgl w:val="false"/>
      <w:suff w:val="tab"/>
      <w:lvlText w:val="%5."/>
      <w:lvlJc w:val="left"/>
      <w:pPr>
        <w:ind w:left="3950" w:hanging="360"/>
      </w:pPr>
    </w:lvl>
    <w:lvl w:ilvl="5">
      <w:start w:val="1"/>
      <w:numFmt w:val="lowerRoman"/>
      <w:isLgl w:val="false"/>
      <w:suff w:val="tab"/>
      <w:lvlText w:val="%6."/>
      <w:lvlJc w:val="right"/>
      <w:pPr>
        <w:ind w:left="4670" w:hanging="180"/>
      </w:pPr>
    </w:lvl>
    <w:lvl w:ilvl="6">
      <w:start w:val="1"/>
      <w:numFmt w:val="decimal"/>
      <w:isLgl w:val="false"/>
      <w:suff w:val="tab"/>
      <w:lvlText w:val="%7."/>
      <w:lvlJc w:val="left"/>
      <w:pPr>
        <w:ind w:left="5390" w:hanging="360"/>
      </w:pPr>
    </w:lvl>
    <w:lvl w:ilvl="7">
      <w:start w:val="1"/>
      <w:numFmt w:val="lowerLetter"/>
      <w:isLgl w:val="false"/>
      <w:suff w:val="tab"/>
      <w:lvlText w:val="%8."/>
      <w:lvlJc w:val="left"/>
      <w:pPr>
        <w:ind w:left="6110" w:hanging="360"/>
      </w:pPr>
    </w:lvl>
    <w:lvl w:ilvl="8">
      <w:start w:val="1"/>
      <w:numFmt w:val="lowerRoman"/>
      <w:isLgl w:val="false"/>
      <w:suff w:val="tab"/>
      <w:lvlText w:val="%9."/>
      <w:lvlJc w:val="right"/>
      <w:pPr>
        <w:ind w:left="6830" w:hanging="180"/>
      </w:pPr>
    </w:lvl>
  </w:abstractNum>
  <w:abstractNum w:abstractNumId="6">
    <w:multiLevelType w:val="hybridMultilevel"/>
    <w:lvl w:ilvl="0">
      <w:start w:val="1"/>
      <w:numFmt w:val="decimal"/>
      <w:isLgl w:val="false"/>
      <w:suff w:val="tab"/>
      <w:lvlText w:val="%1."/>
      <w:lvlJc w:val="left"/>
      <w:pPr>
        <w:ind w:left="72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7">
    <w:multiLevelType w:val="hybridMultilevel"/>
    <w:lvl w:ilvl="0">
      <w:start w:val="1"/>
      <w:numFmt w:val="decimal"/>
      <w:isLgl w:val="false"/>
      <w:suff w:val="tab"/>
      <w:lvlText w:val="%1."/>
      <w:lvlJc w:val="left"/>
      <w:pPr>
        <w:ind w:left="1260" w:hanging="360"/>
      </w:pPr>
    </w:lvl>
    <w:lvl w:ilvl="1">
      <w:start w:val="1"/>
      <w:numFmt w:val="lowerLetter"/>
      <w:isLgl w:val="false"/>
      <w:suff w:val="tab"/>
      <w:lvlText w:val="%2."/>
      <w:lvlJc w:val="left"/>
      <w:pPr>
        <w:ind w:left="1980" w:hanging="360"/>
      </w:pPr>
    </w:lvl>
    <w:lvl w:ilvl="2">
      <w:start w:val="1"/>
      <w:numFmt w:val="lowerRoman"/>
      <w:isLgl w:val="false"/>
      <w:suff w:val="tab"/>
      <w:lvlText w:val="%3."/>
      <w:lvlJc w:val="right"/>
      <w:pPr>
        <w:ind w:left="2700" w:hanging="180"/>
      </w:pPr>
    </w:lvl>
    <w:lvl w:ilvl="3">
      <w:start w:val="1"/>
      <w:numFmt w:val="decimal"/>
      <w:isLgl w:val="false"/>
      <w:suff w:val="tab"/>
      <w:lvlText w:val="%4."/>
      <w:lvlJc w:val="left"/>
      <w:pPr>
        <w:ind w:left="3420" w:hanging="360"/>
      </w:pPr>
    </w:lvl>
    <w:lvl w:ilvl="4">
      <w:start w:val="1"/>
      <w:numFmt w:val="lowerLetter"/>
      <w:isLgl w:val="false"/>
      <w:suff w:val="tab"/>
      <w:lvlText w:val="%5."/>
      <w:lvlJc w:val="left"/>
      <w:pPr>
        <w:ind w:left="4140" w:hanging="360"/>
      </w:pPr>
    </w:lvl>
    <w:lvl w:ilvl="5">
      <w:start w:val="1"/>
      <w:numFmt w:val="lowerRoman"/>
      <w:isLgl w:val="false"/>
      <w:suff w:val="tab"/>
      <w:lvlText w:val="%6."/>
      <w:lvlJc w:val="right"/>
      <w:pPr>
        <w:ind w:left="4860" w:hanging="180"/>
      </w:pPr>
    </w:lvl>
    <w:lvl w:ilvl="6">
      <w:start w:val="1"/>
      <w:numFmt w:val="decimal"/>
      <w:isLgl w:val="false"/>
      <w:suff w:val="tab"/>
      <w:lvlText w:val="%7."/>
      <w:lvlJc w:val="left"/>
      <w:pPr>
        <w:ind w:left="5580" w:hanging="360"/>
      </w:pPr>
    </w:lvl>
    <w:lvl w:ilvl="7">
      <w:start w:val="1"/>
      <w:numFmt w:val="lowerLetter"/>
      <w:isLgl w:val="false"/>
      <w:suff w:val="tab"/>
      <w:lvlText w:val="%8."/>
      <w:lvlJc w:val="left"/>
      <w:pPr>
        <w:ind w:left="6300" w:hanging="360"/>
      </w:pPr>
    </w:lvl>
    <w:lvl w:ilvl="8">
      <w:start w:val="1"/>
      <w:numFmt w:val="lowerRoman"/>
      <w:isLgl w:val="false"/>
      <w:suff w:val="tab"/>
      <w:lvlText w:val="%9."/>
      <w:lvlJc w:val="right"/>
      <w:pPr>
        <w:ind w:left="7020" w:hanging="180"/>
      </w:pPr>
    </w:lvl>
  </w:abstractNum>
  <w:abstractNum w:abstractNumId="8">
    <w:multiLevelType w:val="hybridMultilevel"/>
    <w:lvl w:ilvl="0">
      <w:start w:val="1"/>
      <w:numFmt w:val="decimal"/>
      <w:isLgl w:val="false"/>
      <w:suff w:val="tab"/>
      <w:lvlText w:val="%1."/>
      <w:lvlJc w:val="left"/>
      <w:pPr>
        <w:ind w:left="1068" w:hanging="360"/>
      </w:pPr>
    </w:lvl>
    <w:lvl w:ilvl="1">
      <w:start w:val="1"/>
      <w:numFmt w:val="decimal"/>
      <w:isLgl w:val="false"/>
      <w:suff w:val="tab"/>
      <w:lvlText w:val="%1.%2."/>
      <w:lvlJc w:val="left"/>
      <w:pPr>
        <w:ind w:left="1788" w:hanging="720"/>
      </w:pPr>
    </w:lvl>
    <w:lvl w:ilvl="2">
      <w:start w:val="1"/>
      <w:numFmt w:val="decimal"/>
      <w:isLgl w:val="false"/>
      <w:suff w:val="tab"/>
      <w:lvlText w:val="%1.%2.%3."/>
      <w:lvlJc w:val="left"/>
      <w:pPr>
        <w:ind w:left="2148" w:hanging="720"/>
      </w:pPr>
    </w:lvl>
    <w:lvl w:ilvl="3">
      <w:start w:val="1"/>
      <w:numFmt w:val="decimal"/>
      <w:isLgl w:val="false"/>
      <w:suff w:val="tab"/>
      <w:lvlText w:val="%1.%2.%3.%4."/>
      <w:lvlJc w:val="left"/>
      <w:pPr>
        <w:ind w:left="2868" w:hanging="1080"/>
      </w:pPr>
    </w:lvl>
    <w:lvl w:ilvl="4">
      <w:start w:val="1"/>
      <w:numFmt w:val="decimal"/>
      <w:isLgl w:val="false"/>
      <w:suff w:val="tab"/>
      <w:lvlText w:val="%1.%2.%3.%4.%5."/>
      <w:lvlJc w:val="left"/>
      <w:pPr>
        <w:ind w:left="3228" w:hanging="1080"/>
      </w:pPr>
    </w:lvl>
    <w:lvl w:ilvl="5">
      <w:start w:val="1"/>
      <w:numFmt w:val="decimal"/>
      <w:isLgl w:val="false"/>
      <w:suff w:val="tab"/>
      <w:lvlText w:val="%1.%2.%3.%4.%5.%6."/>
      <w:lvlJc w:val="left"/>
      <w:pPr>
        <w:ind w:left="3948" w:hanging="1440"/>
      </w:pPr>
    </w:lvl>
    <w:lvl w:ilvl="6">
      <w:start w:val="1"/>
      <w:numFmt w:val="decimal"/>
      <w:isLgl w:val="false"/>
      <w:suff w:val="tab"/>
      <w:lvlText w:val="%1.%2.%3.%4.%5.%6.%7."/>
      <w:lvlJc w:val="left"/>
      <w:pPr>
        <w:ind w:left="4668" w:hanging="1800"/>
      </w:pPr>
    </w:lvl>
    <w:lvl w:ilvl="7">
      <w:start w:val="1"/>
      <w:numFmt w:val="decimal"/>
      <w:isLgl w:val="false"/>
      <w:suff w:val="tab"/>
      <w:lvlText w:val="%1.%2.%3.%4.%5.%6.%7.%8."/>
      <w:lvlJc w:val="left"/>
      <w:pPr>
        <w:ind w:left="5028" w:hanging="1800"/>
      </w:pPr>
    </w:lvl>
    <w:lvl w:ilvl="8">
      <w:start w:val="1"/>
      <w:numFmt w:val="decimal"/>
      <w:isLgl w:val="false"/>
      <w:suff w:val="tab"/>
      <w:lvlText w:val="%1.%2.%3.%4.%5.%6.%7.%8.%9."/>
      <w:lvlJc w:val="left"/>
      <w:pPr>
        <w:ind w:left="5748" w:hanging="2160"/>
      </w:pPr>
    </w:lvl>
  </w:abstractNum>
  <w:abstractNum w:abstractNumId="9">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0">
    <w:multiLevelType w:val="hybridMultilevel"/>
    <w:lvl w:ilvl="0">
      <w:start w:val="1"/>
      <w:numFmt w:val="decimal"/>
      <w:isLgl w:val="false"/>
      <w:suff w:val="tab"/>
      <w:lvlText w:val="%1."/>
      <w:lvlJc w:val="left"/>
      <w:pPr>
        <w:ind w:left="644" w:hanging="360"/>
      </w:pPr>
      <w:rPr>
        <w:color w:val="000000"/>
      </w:r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abstractNum w:abstractNumId="11">
    <w:multiLevelType w:val="hybridMultilevel"/>
    <w:lvl w:ilvl="0">
      <w:start w:val="1"/>
      <w:numFmt w:val="decimal"/>
      <w:isLgl w:val="false"/>
      <w:suff w:val="tab"/>
      <w:lvlText w:val="%1."/>
      <w:lvlJc w:val="left"/>
      <w:pPr>
        <w:ind w:left="809" w:hanging="525"/>
      </w:p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abstractNum w:abstractNumId="12">
    <w:multiLevelType w:val="hybridMultilevel"/>
    <w:lvl w:ilvl="0">
      <w:start w:val="8"/>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isLgl w:val="false"/>
      <w:suff w:val="tab"/>
      <w:lvlText w:val="%1."/>
      <w:lvlJc w:val="left"/>
      <w:pPr>
        <w:ind w:left="1714" w:hanging="1005"/>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num w:numId="1">
    <w:abstractNumId w:val="1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5"/>
  </w:num>
  <w:num w:numId="6">
    <w:abstractNumId w:val="8"/>
  </w:num>
  <w:num w:numId="7">
    <w:abstractNumId w:val="1"/>
  </w:num>
  <w:num w:numId="8">
    <w:abstractNumId w:val="9"/>
  </w:num>
  <w:num w:numId="9">
    <w:abstractNumId w:val="12"/>
  </w:num>
  <w:num w:numId="10">
    <w:abstractNumId w:val="3"/>
  </w:num>
  <w:num w:numId="11">
    <w:abstractNumId w:val="4"/>
  </w:num>
  <w:num w:numId="12">
    <w:abstractNumId w:val="7"/>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4">
    <w:name w:val="Heading 1"/>
    <w:basedOn w:val="655"/>
    <w:next w:val="655"/>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12"/>
    <w:link w:val="14"/>
    <w:uiPriority w:val="9"/>
    <w:rPr>
      <w:rFonts w:ascii="Liberation Sans" w:hAnsi="Liberation Sans" w:eastAsia="Liberation Sans" w:cs="Liberation Sans"/>
      <w:sz w:val="40"/>
      <w:szCs w:val="40"/>
    </w:rPr>
  </w:style>
  <w:style w:type="paragraph" w:styleId="16">
    <w:name w:val="Heading 2"/>
    <w:basedOn w:val="655"/>
    <w:next w:val="655"/>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12"/>
    <w:link w:val="16"/>
    <w:uiPriority w:val="9"/>
    <w:rPr>
      <w:rFonts w:ascii="Liberation Sans" w:hAnsi="Liberation Sans" w:eastAsia="Liberation Sans" w:cs="Liberation Sans"/>
      <w:sz w:val="34"/>
    </w:rPr>
  </w:style>
  <w:style w:type="paragraph" w:styleId="18">
    <w:name w:val="Heading 3"/>
    <w:basedOn w:val="655"/>
    <w:next w:val="655"/>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12"/>
    <w:link w:val="18"/>
    <w:uiPriority w:val="9"/>
    <w:rPr>
      <w:rFonts w:ascii="Liberation Sans" w:hAnsi="Liberation Sans" w:eastAsia="Liberation Sans" w:cs="Liberation Sans"/>
      <w:sz w:val="30"/>
      <w:szCs w:val="30"/>
    </w:rPr>
  </w:style>
  <w:style w:type="paragraph" w:styleId="20">
    <w:name w:val="Heading 4"/>
    <w:basedOn w:val="655"/>
    <w:next w:val="655"/>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12"/>
    <w:link w:val="20"/>
    <w:uiPriority w:val="9"/>
    <w:rPr>
      <w:rFonts w:ascii="Liberation Sans" w:hAnsi="Liberation Sans" w:eastAsia="Liberation Sans" w:cs="Liberation Sans"/>
      <w:b/>
      <w:bCs/>
      <w:sz w:val="26"/>
      <w:szCs w:val="26"/>
    </w:rPr>
  </w:style>
  <w:style w:type="paragraph" w:styleId="22">
    <w:name w:val="Heading 5"/>
    <w:basedOn w:val="655"/>
    <w:next w:val="655"/>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12"/>
    <w:link w:val="22"/>
    <w:uiPriority w:val="9"/>
    <w:rPr>
      <w:rFonts w:ascii="Liberation Sans" w:hAnsi="Liberation Sans" w:eastAsia="Liberation Sans" w:cs="Liberation Sans"/>
      <w:b/>
      <w:bCs/>
      <w:sz w:val="24"/>
      <w:szCs w:val="24"/>
    </w:rPr>
  </w:style>
  <w:style w:type="paragraph" w:styleId="24">
    <w:name w:val="Heading 6"/>
    <w:basedOn w:val="655"/>
    <w:next w:val="655"/>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12"/>
    <w:link w:val="24"/>
    <w:uiPriority w:val="9"/>
    <w:rPr>
      <w:rFonts w:ascii="Liberation Sans" w:hAnsi="Liberation Sans" w:eastAsia="Liberation Sans" w:cs="Liberation Sans"/>
      <w:b/>
      <w:bCs/>
      <w:sz w:val="22"/>
      <w:szCs w:val="22"/>
    </w:rPr>
  </w:style>
  <w:style w:type="paragraph" w:styleId="26">
    <w:name w:val="Heading 7"/>
    <w:basedOn w:val="655"/>
    <w:next w:val="655"/>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12"/>
    <w:link w:val="26"/>
    <w:uiPriority w:val="9"/>
    <w:rPr>
      <w:rFonts w:ascii="Liberation Sans" w:hAnsi="Liberation Sans" w:eastAsia="Liberation Sans" w:cs="Liberation Sans"/>
      <w:b/>
      <w:bCs/>
      <w:i/>
      <w:iCs/>
      <w:sz w:val="22"/>
      <w:szCs w:val="22"/>
    </w:rPr>
  </w:style>
  <w:style w:type="paragraph" w:styleId="28">
    <w:name w:val="Heading 8"/>
    <w:basedOn w:val="655"/>
    <w:next w:val="655"/>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12"/>
    <w:link w:val="28"/>
    <w:uiPriority w:val="9"/>
    <w:rPr>
      <w:rFonts w:ascii="Liberation Sans" w:hAnsi="Liberation Sans" w:eastAsia="Liberation Sans" w:cs="Liberation Sans"/>
      <w:i/>
      <w:iCs/>
      <w:sz w:val="22"/>
      <w:szCs w:val="22"/>
    </w:rPr>
  </w:style>
  <w:style w:type="paragraph" w:styleId="30">
    <w:name w:val="Heading 9"/>
    <w:basedOn w:val="655"/>
    <w:next w:val="655"/>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12"/>
    <w:link w:val="30"/>
    <w:uiPriority w:val="9"/>
    <w:rPr>
      <w:rFonts w:ascii="Liberation Sans" w:hAnsi="Liberation Sans" w:eastAsia="Liberation Sans" w:cs="Liberation Sans"/>
      <w:i/>
      <w:iCs/>
      <w:sz w:val="21"/>
      <w:szCs w:val="21"/>
    </w:rPr>
  </w:style>
  <w:style w:type="paragraph" w:styleId="32">
    <w:name w:val="List Paragraph"/>
    <w:basedOn w:val="655"/>
    <w:uiPriority w:val="34"/>
    <w:qFormat/>
    <w:pPr>
      <w:contextualSpacing/>
      <w:ind w:left="720"/>
    </w:pPr>
  </w:style>
  <w:style w:type="paragraph" w:styleId="34">
    <w:name w:val="No Spacing"/>
    <w:uiPriority w:val="1"/>
    <w:qFormat/>
    <w:pPr>
      <w:spacing w:before="0" w:after="0" w:line="240" w:lineRule="auto"/>
    </w:pPr>
  </w:style>
  <w:style w:type="paragraph" w:styleId="35">
    <w:name w:val="Title"/>
    <w:basedOn w:val="655"/>
    <w:next w:val="655"/>
    <w:link w:val="36"/>
    <w:uiPriority w:val="10"/>
    <w:qFormat/>
    <w:pPr>
      <w:contextualSpacing/>
      <w:spacing w:before="300" w:after="200"/>
    </w:pPr>
    <w:rPr>
      <w:sz w:val="48"/>
      <w:szCs w:val="48"/>
    </w:rPr>
  </w:style>
  <w:style w:type="character" w:styleId="36">
    <w:name w:val="Title Char"/>
    <w:basedOn w:val="12"/>
    <w:link w:val="35"/>
    <w:uiPriority w:val="10"/>
    <w:rPr>
      <w:sz w:val="48"/>
      <w:szCs w:val="48"/>
    </w:rPr>
  </w:style>
  <w:style w:type="paragraph" w:styleId="37">
    <w:name w:val="Subtitle"/>
    <w:basedOn w:val="655"/>
    <w:next w:val="655"/>
    <w:link w:val="38"/>
    <w:uiPriority w:val="11"/>
    <w:qFormat/>
    <w:pPr>
      <w:spacing w:before="200" w:after="200"/>
    </w:pPr>
    <w:rPr>
      <w:sz w:val="24"/>
      <w:szCs w:val="24"/>
    </w:rPr>
  </w:style>
  <w:style w:type="character" w:styleId="38">
    <w:name w:val="Subtitle Char"/>
    <w:basedOn w:val="12"/>
    <w:link w:val="37"/>
    <w:uiPriority w:val="11"/>
    <w:rPr>
      <w:sz w:val="24"/>
      <w:szCs w:val="24"/>
    </w:rPr>
  </w:style>
  <w:style w:type="paragraph" w:styleId="39">
    <w:name w:val="Quote"/>
    <w:basedOn w:val="655"/>
    <w:next w:val="655"/>
    <w:link w:val="40"/>
    <w:uiPriority w:val="29"/>
    <w:qFormat/>
    <w:pPr>
      <w:ind w:left="720" w:right="720"/>
    </w:pPr>
    <w:rPr>
      <w:i/>
    </w:rPr>
  </w:style>
  <w:style w:type="character" w:styleId="40">
    <w:name w:val="Quote Char"/>
    <w:link w:val="39"/>
    <w:uiPriority w:val="29"/>
    <w:rPr>
      <w:i/>
    </w:rPr>
  </w:style>
  <w:style w:type="paragraph" w:styleId="41">
    <w:name w:val="Intense Quote"/>
    <w:basedOn w:val="655"/>
    <w:next w:val="655"/>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655"/>
    <w:link w:val="44"/>
    <w:uiPriority w:val="99"/>
    <w:unhideWhenUsed/>
    <w:pPr>
      <w:spacing w:after="0" w:line="240" w:lineRule="auto"/>
      <w:tabs>
        <w:tab w:val="center" w:pos="7143" w:leader="none"/>
        <w:tab w:val="right" w:pos="14287" w:leader="none"/>
      </w:tabs>
    </w:pPr>
  </w:style>
  <w:style w:type="character" w:styleId="44">
    <w:name w:val="Header Char"/>
    <w:basedOn w:val="12"/>
    <w:link w:val="43"/>
    <w:uiPriority w:val="99"/>
  </w:style>
  <w:style w:type="paragraph" w:styleId="45">
    <w:name w:val="Footer"/>
    <w:basedOn w:val="655"/>
    <w:link w:val="46"/>
    <w:uiPriority w:val="99"/>
    <w:unhideWhenUsed/>
    <w:pPr>
      <w:spacing w:after="0" w:line="240" w:lineRule="auto"/>
      <w:tabs>
        <w:tab w:val="center" w:pos="7143" w:leader="none"/>
        <w:tab w:val="right" w:pos="14287" w:leader="none"/>
      </w:tabs>
    </w:pPr>
  </w:style>
  <w:style w:type="character" w:styleId="46">
    <w:name w:val="Footer Char"/>
    <w:basedOn w:val="12"/>
    <w:link w:val="45"/>
    <w:uiPriority w:val="99"/>
  </w:style>
  <w:style w:type="paragraph" w:styleId="47">
    <w:name w:val="Caption"/>
    <w:basedOn w:val="655"/>
    <w:next w:val="655"/>
    <w:link w:val="48"/>
    <w:uiPriority w:val="35"/>
    <w:semiHidden/>
    <w:unhideWhenUsed/>
    <w:qFormat/>
    <w:pPr>
      <w:spacing w:line="276" w:lineRule="auto"/>
    </w:pPr>
    <w:rPr>
      <w:b/>
      <w:bCs/>
      <w:color w:val="4f81bd" w:themeColor="accent1"/>
      <w:sz w:val="18"/>
      <w:szCs w:val="18"/>
    </w:rPr>
  </w:style>
  <w:style w:type="character" w:styleId="48">
    <w:name w:val="Caption Char"/>
    <w:basedOn w:val="12"/>
    <w:link w:val="47"/>
    <w:uiPriority w:val="35"/>
    <w:rPr>
      <w:b/>
      <w:bCs/>
      <w:color w:val="4f81bd" w:themeColor="accent1"/>
      <w:sz w:val="18"/>
      <w:szCs w:val="18"/>
    </w:rPr>
  </w:style>
  <w:style w:type="table" w:styleId="49">
    <w:name w:val="Table Grid"/>
    <w:basedOn w:val="3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3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3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3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3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3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3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3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3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6">
    <w:name w:val="Grid Table 5 Dark - Accent 2"/>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7">
    <w:name w:val="Grid Table 5 Dark - Accent 3"/>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8">
    <w:name w:val="Grid Table 5 Dark- Accent 4"/>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9">
    <w:name w:val="Grid Table 5 Dark - Accent 5"/>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90">
    <w:name w:val="Grid Table 5 Dark - Accent 6"/>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91">
    <w:name w:val="Grid Table 6 Colorful"/>
    <w:basedOn w:val="3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3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3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3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3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3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3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3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3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3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3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3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3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3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3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3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3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3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3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3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3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3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3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3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3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3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3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1">
    <w:name w:val="List Table 3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2">
    <w:name w:val="List Table 3 - Accent 3"/>
    <w:basedOn w:val="3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3">
    <w:name w:val="List Table 3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4">
    <w:name w:val="List Table 3 - Accent 5"/>
    <w:basedOn w:val="3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5">
    <w:name w:val="List Table 3 - Accent 6"/>
    <w:basedOn w:val="3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6">
    <w:name w:val="List Table 4"/>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3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8">
    <w:name w:val="List Table 4 - Accent 2"/>
    <w:basedOn w:val="3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9">
    <w:name w:val="List Table 4 - Accent 3"/>
    <w:basedOn w:val="3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30">
    <w:name w:val="List Table 4 - Accent 4"/>
    <w:basedOn w:val="3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1">
    <w:name w:val="List Table 4 - Accent 5"/>
    <w:basedOn w:val="3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2">
    <w:name w:val="List Table 4 - Accent 6"/>
    <w:basedOn w:val="3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3">
    <w:name w:val="List Table 5 Dark"/>
    <w:basedOn w:val="3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3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3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3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3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3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3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3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3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2">
    <w:name w:val="List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3">
    <w:name w:val="List Table 6 Colorful - Accent 3"/>
    <w:basedOn w:val="3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4">
    <w:name w:val="List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5">
    <w:name w:val="List Table 6 Colorful - Accent 5"/>
    <w:basedOn w:val="3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6">
    <w:name w:val="List Table 6 Colorful - Accent 6"/>
    <w:basedOn w:val="3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7">
    <w:name w:val="List Table 7 Colorful"/>
    <w:basedOn w:val="3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3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a4b71" w:themeColor="accent1" w:themeShade="95"/>
        <w:sz w:val="22"/>
      </w:rPr>
    </w:tblStylePr>
  </w:style>
  <w:style w:type="table" w:styleId="149">
    <w:name w:val="List Table 7 Colorful - Accent 2"/>
    <w:basedOn w:val="3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9c3a37" w:themeColor="accent2" w:themeTint="97" w:themeShade="95"/>
        <w:sz w:val="22"/>
      </w:rPr>
    </w:tblStylePr>
  </w:style>
  <w:style w:type="table" w:styleId="150">
    <w:name w:val="List Table 7 Colorful - Accent 3"/>
    <w:basedOn w:val="3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c983f" w:themeColor="accent3" w:themeTint="98" w:themeShade="95"/>
        <w:sz w:val="22"/>
      </w:rPr>
    </w:tblStylePr>
  </w:style>
  <w:style w:type="table" w:styleId="151">
    <w:name w:val="List Table 7 Colorful - Accent 4"/>
    <w:basedOn w:val="3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664f82" w:themeColor="accent4" w:themeTint="9A" w:themeShade="95"/>
        <w:sz w:val="22"/>
      </w:rPr>
    </w:tblStylePr>
  </w:style>
  <w:style w:type="table" w:styleId="152">
    <w:name w:val="List Table 7 Colorful - Accent 5"/>
    <w:basedOn w:val="3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8aa0" w:themeColor="accent5" w:themeTint="9A" w:themeShade="95"/>
        <w:sz w:val="22"/>
      </w:rPr>
    </w:tblStylePr>
  </w:style>
  <w:style w:type="table" w:styleId="153">
    <w:name w:val="List Table 7 Colorful - Accent 6"/>
    <w:basedOn w:val="3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d9680c" w:themeColor="accent6" w:themeTint="98" w:themeShade="95"/>
        <w:sz w:val="22"/>
      </w:rPr>
    </w:tblStylePr>
  </w:style>
  <w:style w:type="table" w:styleId="154">
    <w:name w:val="Lined - Accent"/>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56">
    <w:name w:val="Lined - Accent 2"/>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57">
    <w:name w:val="Lined - Accent 3"/>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58">
    <w:name w:val="Lined - Accent 4"/>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59">
    <w:name w:val="Lined - Accent 5"/>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0">
    <w:name w:val="Lined - Accent 6"/>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1">
    <w:name w:val="Bordered &amp; Lined - Accent"/>
    <w:basedOn w:val="3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3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63">
    <w:name w:val="Bordered &amp; Lined - Accent 2"/>
    <w:basedOn w:val="3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64">
    <w:name w:val="Bordered &amp; Lined - Accent 3"/>
    <w:basedOn w:val="3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65">
    <w:name w:val="Bordered &amp; Lined - Accent 4"/>
    <w:basedOn w:val="3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66">
    <w:name w:val="Bordered &amp; Lined - Accent 5"/>
    <w:basedOn w:val="3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7">
    <w:name w:val="Bordered &amp; Lined - Accent 6"/>
    <w:basedOn w:val="3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8">
    <w:name w:val="Bordered"/>
    <w:basedOn w:val="3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655"/>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12"/>
    <w:uiPriority w:val="99"/>
    <w:unhideWhenUsed/>
    <w:rPr>
      <w:vertAlign w:val="superscript"/>
    </w:rPr>
  </w:style>
  <w:style w:type="paragraph" w:styleId="179">
    <w:name w:val="endnote text"/>
    <w:basedOn w:val="655"/>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12"/>
    <w:uiPriority w:val="99"/>
    <w:semiHidden/>
    <w:unhideWhenUsed/>
    <w:rPr>
      <w:vertAlign w:val="superscript"/>
    </w:rPr>
  </w:style>
  <w:style w:type="paragraph" w:styleId="182">
    <w:name w:val="toc 1"/>
    <w:basedOn w:val="655"/>
    <w:next w:val="655"/>
    <w:uiPriority w:val="39"/>
    <w:unhideWhenUsed/>
    <w:pPr>
      <w:ind w:left="0" w:right="0" w:firstLine="0"/>
      <w:spacing w:after="57"/>
    </w:pPr>
  </w:style>
  <w:style w:type="paragraph" w:styleId="183">
    <w:name w:val="toc 2"/>
    <w:basedOn w:val="655"/>
    <w:next w:val="655"/>
    <w:uiPriority w:val="39"/>
    <w:unhideWhenUsed/>
    <w:pPr>
      <w:ind w:left="283" w:right="0" w:firstLine="0"/>
      <w:spacing w:after="57"/>
    </w:pPr>
  </w:style>
  <w:style w:type="paragraph" w:styleId="184">
    <w:name w:val="toc 3"/>
    <w:basedOn w:val="655"/>
    <w:next w:val="655"/>
    <w:uiPriority w:val="39"/>
    <w:unhideWhenUsed/>
    <w:pPr>
      <w:ind w:left="567" w:right="0" w:firstLine="0"/>
      <w:spacing w:after="57"/>
    </w:pPr>
  </w:style>
  <w:style w:type="paragraph" w:styleId="185">
    <w:name w:val="toc 4"/>
    <w:basedOn w:val="655"/>
    <w:next w:val="655"/>
    <w:uiPriority w:val="39"/>
    <w:unhideWhenUsed/>
    <w:pPr>
      <w:ind w:left="850" w:right="0" w:firstLine="0"/>
      <w:spacing w:after="57"/>
    </w:pPr>
  </w:style>
  <w:style w:type="paragraph" w:styleId="186">
    <w:name w:val="toc 5"/>
    <w:basedOn w:val="655"/>
    <w:next w:val="655"/>
    <w:uiPriority w:val="39"/>
    <w:unhideWhenUsed/>
    <w:pPr>
      <w:ind w:left="1134" w:right="0" w:firstLine="0"/>
      <w:spacing w:after="57"/>
    </w:pPr>
  </w:style>
  <w:style w:type="paragraph" w:styleId="187">
    <w:name w:val="toc 6"/>
    <w:basedOn w:val="655"/>
    <w:next w:val="655"/>
    <w:uiPriority w:val="39"/>
    <w:unhideWhenUsed/>
    <w:pPr>
      <w:ind w:left="1417" w:right="0" w:firstLine="0"/>
      <w:spacing w:after="57"/>
    </w:pPr>
  </w:style>
  <w:style w:type="paragraph" w:styleId="188">
    <w:name w:val="toc 7"/>
    <w:basedOn w:val="655"/>
    <w:next w:val="655"/>
    <w:uiPriority w:val="39"/>
    <w:unhideWhenUsed/>
    <w:pPr>
      <w:ind w:left="1701" w:right="0" w:firstLine="0"/>
      <w:spacing w:after="57"/>
    </w:pPr>
  </w:style>
  <w:style w:type="paragraph" w:styleId="189">
    <w:name w:val="toc 8"/>
    <w:basedOn w:val="655"/>
    <w:next w:val="655"/>
    <w:uiPriority w:val="39"/>
    <w:unhideWhenUsed/>
    <w:pPr>
      <w:ind w:left="1984" w:right="0" w:firstLine="0"/>
      <w:spacing w:after="57"/>
    </w:pPr>
  </w:style>
  <w:style w:type="paragraph" w:styleId="190">
    <w:name w:val="toc 9"/>
    <w:basedOn w:val="655"/>
    <w:next w:val="655"/>
    <w:uiPriority w:val="39"/>
    <w:unhideWhenUsed/>
    <w:pPr>
      <w:ind w:left="2268" w:right="0" w:firstLine="0"/>
      <w:spacing w:after="57"/>
    </w:pPr>
  </w:style>
  <w:style w:type="paragraph" w:styleId="191">
    <w:name w:val="TOC Heading"/>
    <w:uiPriority w:val="39"/>
    <w:unhideWhenUsed/>
  </w:style>
  <w:style w:type="paragraph" w:styleId="192">
    <w:name w:val="table of figures"/>
    <w:basedOn w:val="655"/>
    <w:next w:val="655"/>
    <w:uiPriority w:val="99"/>
    <w:unhideWhenUsed/>
    <w:pPr>
      <w:spacing w:after="0" w:afterAutospacing="0"/>
    </w:pPr>
  </w:style>
  <w:style w:type="paragraph" w:styleId="655" w:default="1">
    <w:name w:val="Normal"/>
    <w:next w:val="655"/>
    <w:link w:val="655"/>
    <w:qFormat/>
    <w:pPr>
      <w:spacing w:after="200" w:line="276" w:lineRule="auto"/>
    </w:pPr>
    <w:rPr>
      <w:sz w:val="22"/>
      <w:szCs w:val="22"/>
      <w:lang w:val="ru-RU" w:eastAsia="en-US" w:bidi="ar-SA"/>
    </w:rPr>
  </w:style>
  <w:style w:type="paragraph" w:styleId="656">
    <w:name w:val="Заголовок 2"/>
    <w:basedOn w:val="655"/>
    <w:next w:val="655"/>
    <w:link w:val="669"/>
    <w:uiPriority w:val="99"/>
    <w:qFormat/>
    <w:pPr>
      <w:jc w:val="center"/>
      <w:keepNext/>
      <w:spacing w:after="0" w:line="240" w:lineRule="auto"/>
      <w:outlineLvl w:val="1"/>
    </w:pPr>
    <w:rPr>
      <w:rFonts w:ascii="Times New Roman" w:hAnsi="Times New Roman" w:eastAsia="Times New Roman"/>
      <w:b/>
      <w:bCs/>
      <w:sz w:val="24"/>
      <w:szCs w:val="24"/>
      <w:lang w:eastAsia="ru-RU"/>
    </w:rPr>
  </w:style>
  <w:style w:type="paragraph" w:styleId="657">
    <w:name w:val="Заголовок 4"/>
    <w:basedOn w:val="655"/>
    <w:next w:val="655"/>
    <w:link w:val="684"/>
    <w:uiPriority w:val="9"/>
    <w:semiHidden/>
    <w:unhideWhenUsed/>
    <w:qFormat/>
    <w:pPr>
      <w:keepNext/>
      <w:spacing w:before="240" w:after="60"/>
      <w:outlineLvl w:val="3"/>
    </w:pPr>
    <w:rPr>
      <w:rFonts w:ascii="Calibri" w:hAnsi="Calibri" w:eastAsia="Times New Roman" w:cs="Times New Roman"/>
      <w:b/>
      <w:bCs/>
      <w:sz w:val="28"/>
      <w:szCs w:val="28"/>
    </w:rPr>
  </w:style>
  <w:style w:type="character" w:styleId="658">
    <w:name w:val="Основной шрифт абзаца"/>
    <w:next w:val="658"/>
    <w:link w:val="655"/>
    <w:uiPriority w:val="1"/>
    <w:semiHidden/>
    <w:unhideWhenUsed/>
  </w:style>
  <w:style w:type="table" w:styleId="659">
    <w:name w:val="Обычная таблица"/>
    <w:next w:val="659"/>
    <w:link w:val="655"/>
    <w:uiPriority w:val="99"/>
    <w:semiHidden/>
    <w:unhideWhenUsed/>
    <w:qFormat/>
    <w:tblPr/>
  </w:style>
  <w:style w:type="numbering" w:styleId="660">
    <w:name w:val="Нет списка"/>
    <w:next w:val="660"/>
    <w:link w:val="655"/>
    <w:uiPriority w:val="99"/>
    <w:semiHidden/>
    <w:unhideWhenUsed/>
  </w:style>
  <w:style w:type="paragraph" w:styleId="661">
    <w:name w:val="ConsPlusNormal"/>
    <w:next w:val="661"/>
    <w:link w:val="655"/>
    <w:pPr>
      <w:widowControl w:val="off"/>
    </w:pPr>
    <w:rPr>
      <w:rFonts w:ascii="Times New Roman" w:hAnsi="Times New Roman" w:eastAsia="Times New Roman"/>
      <w:sz w:val="24"/>
      <w:szCs w:val="24"/>
      <w:lang w:val="ru-RU" w:eastAsia="ru-RU" w:bidi="ar-SA"/>
    </w:rPr>
  </w:style>
  <w:style w:type="paragraph" w:styleId="662">
    <w:name w:val="14-15"/>
    <w:basedOn w:val="655"/>
    <w:next w:val="662"/>
    <w:link w:val="655"/>
    <w:uiPriority w:val="99"/>
    <w:pPr>
      <w:ind w:firstLine="709"/>
      <w:jc w:val="both"/>
      <w:spacing w:after="0" w:line="360" w:lineRule="auto"/>
    </w:pPr>
    <w:rPr>
      <w:rFonts w:ascii="Times New Roman" w:hAnsi="Times New Roman" w:eastAsia="Times New Roman"/>
      <w:sz w:val="28"/>
      <w:szCs w:val="24"/>
      <w:lang w:eastAsia="ru-RU"/>
    </w:rPr>
  </w:style>
  <w:style w:type="paragraph" w:styleId="663">
    <w:name w:val="Основной текст 2"/>
    <w:basedOn w:val="655"/>
    <w:next w:val="663"/>
    <w:link w:val="664"/>
    <w:unhideWhenUsed/>
    <w:pPr>
      <w:spacing w:after="120" w:line="480" w:lineRule="auto"/>
    </w:pPr>
    <w:rPr>
      <w:rFonts w:ascii="Times New Roman" w:hAnsi="Times New Roman" w:eastAsia="Times New Roman"/>
      <w:sz w:val="20"/>
      <w:szCs w:val="20"/>
      <w:lang w:eastAsia="ru-RU"/>
    </w:rPr>
  </w:style>
  <w:style w:type="character" w:styleId="664">
    <w:name w:val="Основной текст 2 Знак"/>
    <w:basedOn w:val="658"/>
    <w:next w:val="664"/>
    <w:link w:val="663"/>
    <w:rPr>
      <w:rFonts w:ascii="Times New Roman" w:hAnsi="Times New Roman" w:eastAsia="Times New Roman"/>
    </w:rPr>
  </w:style>
  <w:style w:type="paragraph" w:styleId="665">
    <w:name w:val="Основной текст с отступом"/>
    <w:basedOn w:val="655"/>
    <w:next w:val="665"/>
    <w:link w:val="666"/>
    <w:unhideWhenUsed/>
    <w:pPr>
      <w:ind w:left="283"/>
      <w:spacing w:after="120" w:line="240" w:lineRule="auto"/>
    </w:pPr>
    <w:rPr>
      <w:rFonts w:ascii="Times New Roman" w:hAnsi="Times New Roman" w:eastAsia="Times New Roman"/>
      <w:sz w:val="24"/>
      <w:szCs w:val="24"/>
      <w:lang w:eastAsia="ru-RU"/>
    </w:rPr>
  </w:style>
  <w:style w:type="character" w:styleId="666">
    <w:name w:val="Основной текст с отступом Знак"/>
    <w:basedOn w:val="658"/>
    <w:next w:val="666"/>
    <w:link w:val="665"/>
    <w:rPr>
      <w:rFonts w:ascii="Times New Roman" w:hAnsi="Times New Roman" w:eastAsia="Times New Roman"/>
      <w:sz w:val="24"/>
      <w:szCs w:val="24"/>
    </w:rPr>
  </w:style>
  <w:style w:type="paragraph" w:styleId="667">
    <w:name w:val="Основной текст"/>
    <w:basedOn w:val="655"/>
    <w:next w:val="667"/>
    <w:link w:val="668"/>
    <w:unhideWhenUsed/>
    <w:pPr>
      <w:spacing w:after="120" w:line="240" w:lineRule="auto"/>
    </w:pPr>
    <w:rPr>
      <w:rFonts w:ascii="Times New Roman" w:hAnsi="Times New Roman" w:eastAsia="Times New Roman"/>
      <w:sz w:val="24"/>
      <w:szCs w:val="24"/>
      <w:lang w:eastAsia="ru-RU"/>
    </w:rPr>
  </w:style>
  <w:style w:type="character" w:styleId="668">
    <w:name w:val="Основной текст Знак"/>
    <w:basedOn w:val="658"/>
    <w:next w:val="668"/>
    <w:link w:val="667"/>
    <w:rPr>
      <w:rFonts w:ascii="Times New Roman" w:hAnsi="Times New Roman" w:eastAsia="Times New Roman"/>
      <w:sz w:val="24"/>
      <w:szCs w:val="24"/>
    </w:rPr>
  </w:style>
  <w:style w:type="character" w:styleId="669">
    <w:name w:val="Заголовок 2 Знак"/>
    <w:basedOn w:val="658"/>
    <w:next w:val="669"/>
    <w:link w:val="656"/>
    <w:uiPriority w:val="99"/>
    <w:rPr>
      <w:rFonts w:ascii="Times New Roman" w:hAnsi="Times New Roman" w:eastAsia="Times New Roman"/>
      <w:b/>
      <w:bCs/>
      <w:sz w:val="24"/>
      <w:szCs w:val="24"/>
    </w:rPr>
  </w:style>
  <w:style w:type="paragraph" w:styleId="670">
    <w:name w:val="Название"/>
    <w:basedOn w:val="655"/>
    <w:next w:val="670"/>
    <w:link w:val="671"/>
    <w:qFormat/>
    <w:pPr>
      <w:ind w:left="5670" w:right="41"/>
      <w:jc w:val="center"/>
      <w:spacing w:before="259" w:after="0" w:line="240" w:lineRule="auto"/>
      <w:shd w:val="clear" w:color="auto" w:fill="ffffff"/>
      <w:widowControl w:val="off"/>
    </w:pPr>
    <w:rPr>
      <w:rFonts w:ascii="Times New Roman" w:hAnsi="Times New Roman" w:eastAsia="Times New Roman"/>
      <w:color w:val="000000"/>
      <w:spacing w:val="-4"/>
      <w:sz w:val="24"/>
      <w:szCs w:val="24"/>
      <w:lang w:eastAsia="ru-RU"/>
    </w:rPr>
  </w:style>
  <w:style w:type="character" w:styleId="671">
    <w:name w:val="Название Знак"/>
    <w:basedOn w:val="658"/>
    <w:next w:val="671"/>
    <w:link w:val="670"/>
    <w:rPr>
      <w:rFonts w:ascii="Times New Roman" w:hAnsi="Times New Roman" w:eastAsia="Times New Roman"/>
      <w:color w:val="000000"/>
      <w:spacing w:val="-4"/>
      <w:sz w:val="24"/>
      <w:szCs w:val="24"/>
      <w:shd w:val="clear" w:color="auto" w:fill="ffffff"/>
    </w:rPr>
  </w:style>
  <w:style w:type="paragraph" w:styleId="672">
    <w:name w:val="Текст 14-1.5.Стиль12-1"/>
    <w:basedOn w:val="655"/>
    <w:next w:val="672"/>
    <w:link w:val="655"/>
    <w:pPr>
      <w:ind w:firstLine="709"/>
      <w:jc w:val="both"/>
      <w:spacing w:after="0" w:line="360" w:lineRule="auto"/>
      <w:widowControl w:val="off"/>
    </w:pPr>
    <w:rPr>
      <w:rFonts w:ascii="Times New Roman" w:hAnsi="Times New Roman" w:eastAsia="Times New Roman"/>
      <w:sz w:val="24"/>
      <w:szCs w:val="24"/>
      <w:lang w:eastAsia="ru-RU"/>
    </w:rPr>
  </w:style>
  <w:style w:type="paragraph" w:styleId="673">
    <w:name w:val="Текст 14-1.5"/>
    <w:basedOn w:val="655"/>
    <w:next w:val="673"/>
    <w:link w:val="655"/>
    <w:pPr>
      <w:ind w:firstLine="709"/>
      <w:jc w:val="both"/>
      <w:spacing w:after="0" w:line="360" w:lineRule="auto"/>
      <w:widowControl w:val="off"/>
    </w:pPr>
    <w:rPr>
      <w:rFonts w:ascii="Times New Roman" w:hAnsi="Times New Roman" w:eastAsia="Times New Roman"/>
      <w:sz w:val="28"/>
      <w:szCs w:val="28"/>
      <w:lang w:eastAsia="ru-RU"/>
    </w:rPr>
  </w:style>
  <w:style w:type="paragraph" w:styleId="674">
    <w:name w:val="Содерж"/>
    <w:basedOn w:val="655"/>
    <w:next w:val="674"/>
    <w:link w:val="655"/>
    <w:pPr>
      <w:jc w:val="center"/>
      <w:spacing w:after="120" w:line="360" w:lineRule="atLeast"/>
      <w:widowControl w:val="off"/>
    </w:pPr>
    <w:rPr>
      <w:rFonts w:ascii="Times New Roman" w:hAnsi="Times New Roman" w:eastAsia="Times New Roman"/>
      <w:sz w:val="28"/>
      <w:szCs w:val="28"/>
      <w:lang w:eastAsia="ru-RU"/>
    </w:rPr>
  </w:style>
  <w:style w:type="paragraph" w:styleId="675">
    <w:name w:val="Текст сноски"/>
    <w:basedOn w:val="655"/>
    <w:next w:val="675"/>
    <w:link w:val="676"/>
    <w:unhideWhenUsed/>
    <w:pPr>
      <w:jc w:val="both"/>
      <w:keepLines/>
      <w:spacing w:after="120" w:line="240" w:lineRule="auto"/>
    </w:pPr>
    <w:rPr>
      <w:rFonts w:ascii="Times New Roman" w:hAnsi="Times New Roman" w:eastAsia="Batang"/>
      <w:szCs w:val="20"/>
      <w:lang w:eastAsia="ru-RU"/>
    </w:rPr>
  </w:style>
  <w:style w:type="character" w:styleId="676">
    <w:name w:val="Текст сноски Знак"/>
    <w:basedOn w:val="658"/>
    <w:next w:val="676"/>
    <w:link w:val="675"/>
    <w:rPr>
      <w:rFonts w:ascii="Times New Roman" w:hAnsi="Times New Roman" w:eastAsia="Batang"/>
      <w:sz w:val="22"/>
    </w:rPr>
  </w:style>
  <w:style w:type="paragraph" w:styleId="677">
    <w:name w:val="Обычный1"/>
    <w:next w:val="677"/>
    <w:link w:val="655"/>
    <w:rPr>
      <w:rFonts w:ascii="Times New Roman" w:hAnsi="Times New Roman" w:eastAsia="Times New Roman"/>
      <w:sz w:val="24"/>
      <w:lang w:val="ru-RU" w:eastAsia="ru-RU" w:bidi="ar-SA"/>
    </w:rPr>
  </w:style>
  <w:style w:type="paragraph" w:styleId="678">
    <w:name w:val="Основной текст 21"/>
    <w:basedOn w:val="677"/>
    <w:next w:val="678"/>
    <w:link w:val="655"/>
    <w:pPr>
      <w:ind w:firstLine="720"/>
      <w:jc w:val="center"/>
    </w:pPr>
  </w:style>
  <w:style w:type="paragraph" w:styleId="679">
    <w:name w:val="Текст1"/>
    <w:basedOn w:val="655"/>
    <w:next w:val="679"/>
    <w:link w:val="655"/>
    <w:pPr>
      <w:spacing w:after="0" w:line="240" w:lineRule="auto"/>
      <w:widowControl w:val="off"/>
    </w:pPr>
    <w:rPr>
      <w:rFonts w:ascii="Courier New" w:hAnsi="Courier New" w:eastAsia="Times New Roman"/>
      <w:sz w:val="20"/>
      <w:szCs w:val="20"/>
      <w:lang w:eastAsia="ru-RU"/>
    </w:rPr>
  </w:style>
  <w:style w:type="character" w:styleId="680">
    <w:name w:val="Знак сноски"/>
    <w:basedOn w:val="658"/>
    <w:next w:val="680"/>
    <w:link w:val="655"/>
    <w:unhideWhenUsed/>
    <w:rPr>
      <w:vertAlign w:val="superscript"/>
    </w:rPr>
  </w:style>
  <w:style w:type="paragraph" w:styleId="681">
    <w:name w:val="Абзац списка"/>
    <w:basedOn w:val="655"/>
    <w:next w:val="681"/>
    <w:link w:val="655"/>
    <w:uiPriority w:val="34"/>
    <w:qFormat/>
    <w:pPr>
      <w:ind w:left="708"/>
    </w:pPr>
  </w:style>
  <w:style w:type="character" w:styleId="682">
    <w:name w:val="Строгий"/>
    <w:basedOn w:val="658"/>
    <w:next w:val="682"/>
    <w:link w:val="655"/>
    <w:qFormat/>
    <w:rPr>
      <w:b/>
      <w:bCs/>
    </w:rPr>
  </w:style>
  <w:style w:type="paragraph" w:styleId="683">
    <w:name w:val="HeadDoc"/>
    <w:next w:val="683"/>
    <w:link w:val="655"/>
    <w:pPr>
      <w:jc w:val="both"/>
      <w:keepLines/>
      <w:widowControl w:val="off"/>
    </w:pPr>
    <w:rPr>
      <w:rFonts w:ascii="Times New Roman" w:hAnsi="Times New Roman" w:eastAsia="Times New Roman"/>
      <w:sz w:val="28"/>
      <w:lang w:val="ru-RU" w:eastAsia="ru-RU" w:bidi="ar-SA"/>
    </w:rPr>
  </w:style>
  <w:style w:type="character" w:styleId="684">
    <w:name w:val="Заголовок 4 Знак"/>
    <w:basedOn w:val="658"/>
    <w:next w:val="684"/>
    <w:link w:val="657"/>
    <w:uiPriority w:val="9"/>
    <w:semiHidden/>
    <w:rPr>
      <w:rFonts w:ascii="Calibri" w:hAnsi="Calibri" w:eastAsia="Times New Roman" w:cs="Times New Roman"/>
      <w:b/>
      <w:bCs/>
      <w:sz w:val="28"/>
      <w:szCs w:val="28"/>
      <w:lang w:eastAsia="en-US"/>
    </w:rPr>
  </w:style>
  <w:style w:type="paragraph" w:styleId="685">
    <w:name w:val="Normal1"/>
    <w:next w:val="685"/>
    <w:link w:val="655"/>
    <w:rPr>
      <w:rFonts w:ascii="Times New Roman" w:hAnsi="Times New Roman" w:eastAsia="Times New Roman"/>
      <w:sz w:val="26"/>
      <w:lang w:val="ru-RU" w:eastAsia="ru-RU" w:bidi="ar-SA"/>
    </w:rPr>
  </w:style>
  <w:style w:type="paragraph" w:styleId="686">
    <w:name w:val="Основной текст с отступом 2"/>
    <w:basedOn w:val="655"/>
    <w:next w:val="686"/>
    <w:link w:val="687"/>
    <w:pPr>
      <w:ind w:left="283"/>
      <w:spacing w:after="120" w:line="480" w:lineRule="auto"/>
    </w:pPr>
    <w:rPr>
      <w:rFonts w:ascii="Times New Roman" w:hAnsi="Times New Roman" w:eastAsia="Times New Roman"/>
      <w:sz w:val="24"/>
      <w:szCs w:val="24"/>
      <w:lang w:eastAsia="ru-RU"/>
    </w:rPr>
  </w:style>
  <w:style w:type="character" w:styleId="687">
    <w:name w:val="Основной текст с отступом 2 Знак"/>
    <w:basedOn w:val="658"/>
    <w:next w:val="687"/>
    <w:link w:val="686"/>
    <w:rPr>
      <w:rFonts w:ascii="Times New Roman" w:hAnsi="Times New Roman" w:eastAsia="Times New Roman"/>
      <w:sz w:val="24"/>
      <w:szCs w:val="24"/>
    </w:rPr>
  </w:style>
  <w:style w:type="character" w:styleId="2296" w:default="1">
    <w:name w:val="Default Paragraph Font"/>
    <w:uiPriority w:val="1"/>
    <w:semiHidden/>
    <w:unhideWhenUsed/>
  </w:style>
  <w:style w:type="numbering" w:styleId="2297" w:default="1">
    <w:name w:val="No List"/>
    <w:uiPriority w:val="99"/>
    <w:semiHidden/>
    <w:unhideWhenUsed/>
  </w:style>
  <w:style w:type="table" w:styleId="2298"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t.a.gerasimova</cp:lastModifiedBy>
  <cp:revision>6</cp:revision>
  <dcterms:created xsi:type="dcterms:W3CDTF">2024-07-06T07:33:00Z</dcterms:created>
  <dcterms:modified xsi:type="dcterms:W3CDTF">2026-07-24T13:47:42Z</dcterms:modified>
  <cp:version>786432</cp:version>
</cp:coreProperties>
</file>